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CDB8" w14:textId="31A4888A" w:rsidR="00397668" w:rsidRPr="00FE3098" w:rsidRDefault="00FC0CDB" w:rsidP="00FC0CDB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FE309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ESTRUCTURA DE LA INFORMACIÓN Y LA CODIFICACIÓN DE PARTICIPANTES EN LA LENGUA MISKITA PRIMER ACERCAMIENTO</w:t>
      </w:r>
    </w:p>
    <w:p w14:paraId="44FEE9F8" w14:textId="73057C36" w:rsidR="002473A6" w:rsidRPr="009B2CFB" w:rsidRDefault="002473A6" w:rsidP="00FC0CDB">
      <w:pPr>
        <w:spacing w:after="0" w:line="276" w:lineRule="auto"/>
        <w:rPr>
          <w:rFonts w:cstheme="minorHAnsi"/>
          <w:color w:val="000000" w:themeColor="text1"/>
          <w:sz w:val="24"/>
          <w:szCs w:val="24"/>
          <w:lang w:val="es-HN"/>
        </w:rPr>
      </w:pPr>
    </w:p>
    <w:p w14:paraId="102410C8" w14:textId="3995E5D2" w:rsidR="000B7754" w:rsidRPr="00FE3098" w:rsidRDefault="00397668" w:rsidP="00FC0CDB">
      <w:pPr>
        <w:spacing w:after="0" w:line="360" w:lineRule="auto"/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</w:pPr>
      <w:r w:rsidRPr="00FE3098">
        <w:rPr>
          <w:rFonts w:eastAsiaTheme="majorEastAsia" w:cstheme="minorHAnsi"/>
          <w:b/>
          <w:bCs/>
          <w:color w:val="5B9BD5" w:themeColor="accent1"/>
          <w:sz w:val="26"/>
          <w:szCs w:val="26"/>
          <w:lang w:val="es-ES"/>
        </w:rPr>
        <w:t>José Renán Guzmán Lanza</w:t>
      </w:r>
    </w:p>
    <w:p w14:paraId="6BBE9EA6" w14:textId="7179D3E1" w:rsidR="009B2CFB" w:rsidRPr="00FC0CDB" w:rsidRDefault="001F25C7" w:rsidP="00FC0CDB">
      <w:pPr>
        <w:pStyle w:val="Prrafodelista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</w:pPr>
      <w:r w:rsidRPr="00FC0CD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Universidad Nacional Autónoma de Honduras</w:t>
      </w:r>
      <w:r w:rsidR="00FC0CD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>:</w:t>
      </w:r>
      <w:r w:rsidRPr="00FC0CD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  <w:hyperlink r:id="rId8" w:history="1">
        <w:r w:rsidR="009A368B" w:rsidRPr="00FC0CDB">
          <w:rPr>
            <w:rFonts w:ascii="Times New Roman" w:eastAsia="Times New Roman" w:hAnsi="Times New Roman" w:cs="Times New Roman"/>
            <w:b/>
            <w:bCs/>
            <w:i/>
            <w:color w:val="5B9BD5" w:themeColor="accent1"/>
            <w:sz w:val="20"/>
            <w:szCs w:val="26"/>
            <w:lang w:val="es-ES"/>
          </w:rPr>
          <w:t>jose.guzman@unah.edu.hn</w:t>
        </w:r>
      </w:hyperlink>
      <w:r w:rsidR="009A368B" w:rsidRPr="00FC0CDB">
        <w:rPr>
          <w:rFonts w:ascii="Times New Roman" w:eastAsia="Times New Roman" w:hAnsi="Times New Roman" w:cs="Times New Roman"/>
          <w:b/>
          <w:bCs/>
          <w:i/>
          <w:color w:val="5B9BD5" w:themeColor="accent1"/>
          <w:sz w:val="20"/>
          <w:szCs w:val="26"/>
          <w:lang w:val="es-ES"/>
        </w:rPr>
        <w:t xml:space="preserve"> </w:t>
      </w:r>
    </w:p>
    <w:p w14:paraId="7DAB898F" w14:textId="77777777" w:rsidR="00FC0CDB" w:rsidRPr="000B5191" w:rsidRDefault="00FC0CDB" w:rsidP="00FC0CDB">
      <w:pPr>
        <w:pStyle w:val="Prrafodelista"/>
        <w:spacing w:after="0" w:line="360" w:lineRule="auto"/>
        <w:ind w:left="0"/>
        <w:rPr>
          <w:rFonts w:asciiTheme="majorHAnsi" w:hAnsiTheme="majorHAnsi" w:cstheme="majorHAnsi"/>
          <w:color w:val="000000"/>
          <w:sz w:val="22"/>
          <w:szCs w:val="22"/>
          <w:lang w:val="es-419"/>
        </w:rPr>
      </w:pPr>
    </w:p>
    <w:p w14:paraId="171B8F2E" w14:textId="75DE6FF4" w:rsidR="00FC0CDB" w:rsidRPr="00FE3098" w:rsidRDefault="00FC0CDB" w:rsidP="000B44A9">
      <w:pPr>
        <w:jc w:val="both"/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</w:pPr>
      <w:r w:rsidRPr="00FE309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RESUMEN</w:t>
      </w:r>
    </w:p>
    <w:p w14:paraId="31BFA3E3" w14:textId="38C9219E" w:rsidR="000B44A9" w:rsidRPr="00FE3098" w:rsidRDefault="000B44A9" w:rsidP="000B44A9">
      <w:pPr>
        <w:jc w:val="both"/>
        <w:rPr>
          <w:rFonts w:cstheme="minorHAnsi"/>
          <w:sz w:val="22"/>
          <w:szCs w:val="22"/>
          <w:lang w:val="es-HN"/>
        </w:rPr>
      </w:pPr>
      <w:r w:rsidRPr="00FE3098">
        <w:rPr>
          <w:rFonts w:cstheme="minorHAnsi"/>
          <w:sz w:val="22"/>
          <w:szCs w:val="22"/>
          <w:lang w:val="es-HN"/>
        </w:rPr>
        <w:t xml:space="preserve">Este trabajo presenta, por primera vez, un acercamiento de cómo se expresa las nociones de Tópico y Foco en el miskito lengua de origen misumalpa ubicada en Honduras y Nicaragua. Se propone describir los mecanismos que utiliza el miskito para expresar el tópico y foco a partir del discurso. También, dar cuenta del estatus del sufijo </w:t>
      </w:r>
      <w:r w:rsidRPr="00FE3098">
        <w:rPr>
          <w:rFonts w:cstheme="minorHAnsi"/>
          <w:i/>
          <w:iCs/>
          <w:sz w:val="22"/>
          <w:szCs w:val="22"/>
          <w:lang w:val="es-HN"/>
        </w:rPr>
        <w:t>-</w:t>
      </w:r>
      <w:proofErr w:type="spellStart"/>
      <w:r w:rsidRPr="00FE3098">
        <w:rPr>
          <w:rFonts w:cstheme="minorHAnsi"/>
          <w:i/>
          <w:iCs/>
          <w:sz w:val="22"/>
          <w:szCs w:val="22"/>
          <w:lang w:val="es-HN"/>
        </w:rPr>
        <w:t>ka</w:t>
      </w:r>
      <w:proofErr w:type="spellEnd"/>
      <w:r w:rsidRPr="00FE3098">
        <w:rPr>
          <w:rFonts w:cstheme="minorHAnsi"/>
          <w:i/>
          <w:iCs/>
          <w:sz w:val="22"/>
          <w:szCs w:val="22"/>
          <w:lang w:val="es-HN"/>
        </w:rPr>
        <w:t xml:space="preserve"> </w:t>
      </w:r>
      <w:r w:rsidRPr="00FE3098">
        <w:rPr>
          <w:rFonts w:cstheme="minorHAnsi"/>
          <w:sz w:val="22"/>
          <w:szCs w:val="22"/>
          <w:lang w:val="es-HN"/>
        </w:rPr>
        <w:t>‘posesivo.3’ como recuperador de participantes, mecanismo que solo es observable en el discurso. Además, observar la codificación de los participantes en la lengua.</w:t>
      </w:r>
    </w:p>
    <w:p w14:paraId="4AA6CFAA" w14:textId="54643B9B" w:rsidR="009B2CFB" w:rsidRPr="00FE3098" w:rsidRDefault="000B44A9" w:rsidP="000B44A9">
      <w:pPr>
        <w:jc w:val="both"/>
        <w:rPr>
          <w:rFonts w:cstheme="minorHAnsi"/>
          <w:sz w:val="22"/>
          <w:szCs w:val="22"/>
          <w:lang w:val="es-HN"/>
        </w:rPr>
      </w:pPr>
      <w:r w:rsidRPr="00FE3098">
        <w:rPr>
          <w:rFonts w:cstheme="minorHAnsi"/>
          <w:sz w:val="22"/>
          <w:szCs w:val="22"/>
          <w:lang w:val="es-HN"/>
        </w:rPr>
        <w:t>La estructura de información no es un tema reciente pero no ha sido abordado en el miskito, fenómeno que merece toda la atención debido a su relevancia en la explicación de muchos fenómenos que no se puede dar respuesta a partir de la morfosintaxis. Debido a esto, es propósito de este trabajo explorar como la estructura de la información afecta la organización morfosintáctica del miskito de acuerdo con los contextos y funciones comunicativas. De modo que, esta investigación pretende un primer acercamiento para describir las estructuras de tópico y foco (</w:t>
      </w:r>
      <w:proofErr w:type="spellStart"/>
      <w:r w:rsidRPr="00FE3098">
        <w:rPr>
          <w:rFonts w:cstheme="minorHAnsi"/>
          <w:sz w:val="22"/>
          <w:szCs w:val="22"/>
          <w:lang w:val="es-HN"/>
        </w:rPr>
        <w:t>Lambrecht</w:t>
      </w:r>
      <w:proofErr w:type="spellEnd"/>
      <w:r w:rsidRPr="00FE3098">
        <w:rPr>
          <w:rFonts w:cstheme="minorHAnsi"/>
          <w:sz w:val="22"/>
          <w:szCs w:val="22"/>
          <w:lang w:val="es-HN"/>
        </w:rPr>
        <w:t xml:space="preserve"> 1994) y comprobar el estatus del posesivo -</w:t>
      </w:r>
      <w:proofErr w:type="spellStart"/>
      <w:r w:rsidRPr="00FE3098">
        <w:rPr>
          <w:rFonts w:cstheme="minorHAnsi"/>
          <w:i/>
          <w:iCs/>
          <w:sz w:val="22"/>
          <w:szCs w:val="22"/>
          <w:lang w:val="es-HN"/>
        </w:rPr>
        <w:t>ka</w:t>
      </w:r>
      <w:proofErr w:type="spellEnd"/>
      <w:r w:rsidRPr="00FE3098">
        <w:rPr>
          <w:rFonts w:cstheme="minorHAnsi"/>
          <w:sz w:val="22"/>
          <w:szCs w:val="22"/>
          <w:lang w:val="es-HN"/>
        </w:rPr>
        <w:t xml:space="preserve"> ‘</w:t>
      </w:r>
      <w:r w:rsidRPr="00FE3098">
        <w:rPr>
          <w:rFonts w:cstheme="minorHAnsi"/>
          <w:smallCaps/>
          <w:sz w:val="22"/>
          <w:szCs w:val="22"/>
          <w:lang w:val="es-HN"/>
        </w:rPr>
        <w:t>pos</w:t>
      </w:r>
      <w:r w:rsidRPr="00FE3098">
        <w:rPr>
          <w:rFonts w:cstheme="minorHAnsi"/>
          <w:sz w:val="22"/>
          <w:szCs w:val="22"/>
          <w:lang w:val="es-HN"/>
        </w:rPr>
        <w:t>.3’. Estos datos serán obtenidos a partir del discurso, ya que este ha sido considerado el nivel en que se puede observar con mayor precisión la organización cognitiva de la información (</w:t>
      </w:r>
      <w:r w:rsidRPr="00FE3098">
        <w:rPr>
          <w:rFonts w:eastAsia="TimesNewRomanPSMT" w:cstheme="minorHAnsi"/>
          <w:sz w:val="22"/>
          <w:szCs w:val="22"/>
          <w:lang w:val="es-HN"/>
        </w:rPr>
        <w:t xml:space="preserve">Sanders y </w:t>
      </w:r>
      <w:proofErr w:type="spellStart"/>
      <w:r w:rsidRPr="00FE3098">
        <w:rPr>
          <w:rFonts w:eastAsia="TimesNewRomanPSMT" w:cstheme="minorHAnsi"/>
          <w:sz w:val="22"/>
          <w:szCs w:val="22"/>
          <w:lang w:val="es-HN"/>
        </w:rPr>
        <w:t>Gernsbacher</w:t>
      </w:r>
      <w:proofErr w:type="spellEnd"/>
      <w:r w:rsidRPr="00FE3098">
        <w:rPr>
          <w:rFonts w:eastAsia="TimesNewRomanPSMT" w:cstheme="minorHAnsi"/>
          <w:sz w:val="22"/>
          <w:szCs w:val="22"/>
          <w:lang w:val="es-HN"/>
        </w:rPr>
        <w:t xml:space="preserve"> 2004)</w:t>
      </w:r>
      <w:r w:rsidRPr="00FE3098">
        <w:rPr>
          <w:rFonts w:cstheme="minorHAnsi"/>
          <w:sz w:val="22"/>
          <w:szCs w:val="22"/>
          <w:lang w:val="es-HN"/>
        </w:rPr>
        <w:t xml:space="preserve"> citado en Estrada (2013) así mismo, las categorías de la estructura de la información están ligadas al lenguaje en uso (</w:t>
      </w:r>
      <w:proofErr w:type="spellStart"/>
      <w:r w:rsidRPr="00FE3098">
        <w:rPr>
          <w:rFonts w:cstheme="minorHAnsi"/>
          <w:sz w:val="22"/>
          <w:szCs w:val="22"/>
          <w:lang w:val="es-HN"/>
        </w:rPr>
        <w:t>Belloro</w:t>
      </w:r>
      <w:proofErr w:type="spellEnd"/>
      <w:r w:rsidRPr="00FE3098">
        <w:rPr>
          <w:rFonts w:cstheme="minorHAnsi"/>
          <w:sz w:val="22"/>
          <w:szCs w:val="22"/>
          <w:lang w:val="es-HN"/>
        </w:rPr>
        <w:t xml:space="preserve"> 2019:1). Para este fin se ha utilizado como estímulo el video </w:t>
      </w:r>
      <w:proofErr w:type="spellStart"/>
      <w:r w:rsidRPr="00FE3098">
        <w:rPr>
          <w:rFonts w:cstheme="minorHAnsi"/>
          <w:i/>
          <w:iCs/>
          <w:sz w:val="22"/>
          <w:szCs w:val="22"/>
          <w:lang w:val="es-HN"/>
        </w:rPr>
        <w:t>the</w:t>
      </w:r>
      <w:proofErr w:type="spellEnd"/>
      <w:r w:rsidRPr="00FE3098">
        <w:rPr>
          <w:rFonts w:cstheme="minorHAnsi"/>
          <w:i/>
          <w:iCs/>
          <w:sz w:val="22"/>
          <w:szCs w:val="22"/>
          <w:lang w:val="es-HN"/>
        </w:rPr>
        <w:t xml:space="preserve"> </w:t>
      </w:r>
      <w:proofErr w:type="spellStart"/>
      <w:r w:rsidRPr="00FE3098">
        <w:rPr>
          <w:rFonts w:cstheme="minorHAnsi"/>
          <w:i/>
          <w:iCs/>
          <w:sz w:val="22"/>
          <w:szCs w:val="22"/>
          <w:lang w:val="es-HN"/>
        </w:rPr>
        <w:t>tribe</w:t>
      </w:r>
      <w:proofErr w:type="spellEnd"/>
      <w:r w:rsidRPr="00FE3098">
        <w:rPr>
          <w:rFonts w:cstheme="minorHAnsi"/>
          <w:i/>
          <w:iCs/>
          <w:sz w:val="22"/>
          <w:szCs w:val="22"/>
          <w:lang w:val="es-HN"/>
        </w:rPr>
        <w:t xml:space="preserve"> </w:t>
      </w:r>
      <w:r w:rsidRPr="00FE3098">
        <w:rPr>
          <w:rFonts w:cstheme="minorHAnsi"/>
          <w:sz w:val="22"/>
          <w:szCs w:val="22"/>
          <w:lang w:val="es-HN"/>
        </w:rPr>
        <w:t xml:space="preserve">(recuperado de </w:t>
      </w:r>
      <w:hyperlink r:id="rId9" w:history="1">
        <w:r w:rsidRPr="00FE3098">
          <w:rPr>
            <w:rStyle w:val="Hipervnculo"/>
            <w:rFonts w:cstheme="minorHAnsi"/>
            <w:sz w:val="22"/>
            <w:szCs w:val="22"/>
            <w:lang w:val="es-HN"/>
          </w:rPr>
          <w:t>http://www.gordo.it/p/gordo-thetribe</w:t>
        </w:r>
      </w:hyperlink>
      <w:r w:rsidRPr="00FE3098">
        <w:rPr>
          <w:rFonts w:cstheme="minorHAnsi"/>
          <w:sz w:val="22"/>
          <w:szCs w:val="22"/>
          <w:lang w:val="es-HN"/>
        </w:rPr>
        <w:t xml:space="preserve">) y una narración de literatura oral miskita. </w:t>
      </w:r>
    </w:p>
    <w:p w14:paraId="276DC9CB" w14:textId="77777777" w:rsidR="000B44A9" w:rsidRPr="00FE3098" w:rsidRDefault="00A94CC0" w:rsidP="000B44A9">
      <w:pPr>
        <w:jc w:val="both"/>
        <w:rPr>
          <w:rFonts w:cstheme="minorHAnsi"/>
          <w:sz w:val="22"/>
          <w:szCs w:val="22"/>
          <w:lang w:val="es-HN"/>
        </w:rPr>
      </w:pPr>
      <w:r w:rsidRPr="00FE3098">
        <w:rPr>
          <w:rFonts w:cstheme="minorHAnsi"/>
          <w:b/>
          <w:bCs/>
          <w:color w:val="000000"/>
          <w:sz w:val="22"/>
          <w:szCs w:val="22"/>
          <w:lang w:val="es-419"/>
        </w:rPr>
        <w:t>Palabras Clave</w:t>
      </w:r>
      <w:r w:rsidR="0083320A" w:rsidRPr="00FE3098">
        <w:rPr>
          <w:rFonts w:cstheme="minorHAnsi"/>
          <w:b/>
          <w:bCs/>
          <w:color w:val="000000"/>
          <w:sz w:val="22"/>
          <w:szCs w:val="22"/>
          <w:lang w:val="es-419"/>
        </w:rPr>
        <w:t>:</w:t>
      </w:r>
      <w:r w:rsidRPr="00FE3098">
        <w:rPr>
          <w:rFonts w:cstheme="minorHAnsi"/>
          <w:color w:val="000000"/>
          <w:sz w:val="22"/>
          <w:szCs w:val="22"/>
          <w:lang w:val="es-419"/>
        </w:rPr>
        <w:t xml:space="preserve"> </w:t>
      </w:r>
      <w:r w:rsidR="000B44A9" w:rsidRPr="00FE3098">
        <w:rPr>
          <w:rFonts w:cstheme="minorHAnsi"/>
          <w:sz w:val="22"/>
          <w:szCs w:val="22"/>
          <w:lang w:val="es-HN"/>
        </w:rPr>
        <w:t>Estructura de la información, tópico, foco, recuperación de participantes.</w:t>
      </w:r>
    </w:p>
    <w:p w14:paraId="094C9ED3" w14:textId="39E32F63" w:rsidR="009B2CFB" w:rsidRPr="000B44A9" w:rsidRDefault="009B2CFB" w:rsidP="009B2CFB">
      <w:pPr>
        <w:spacing w:after="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val="es-HN"/>
        </w:rPr>
      </w:pPr>
    </w:p>
    <w:p w14:paraId="51A88BB7" w14:textId="12F5AEB0" w:rsidR="00132724" w:rsidRPr="00FE3098" w:rsidRDefault="00FC0CDB" w:rsidP="009B2CFB">
      <w:pPr>
        <w:spacing w:after="0" w:line="360" w:lineRule="auto"/>
        <w:jc w:val="both"/>
        <w:rPr>
          <w:rFonts w:cstheme="minorHAnsi"/>
          <w:color w:val="000000"/>
          <w:sz w:val="22"/>
          <w:szCs w:val="22"/>
          <w:lang w:val="es-419"/>
        </w:rPr>
      </w:pPr>
      <w:r w:rsidRPr="00FE309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REFERENCIAS </w:t>
      </w:r>
    </w:p>
    <w:p w14:paraId="4E1F3A37" w14:textId="77777777" w:rsidR="009C16BC" w:rsidRDefault="009C16BC" w:rsidP="009C16BC">
      <w:pPr>
        <w:pStyle w:val="CitaviBibliografa"/>
      </w:pPr>
      <w:r>
        <w:t xml:space="preserve">Cúneo, P. (2016). Expresión de foco en toba (guaycurú). Una aproximación al </w:t>
      </w:r>
      <w:proofErr w:type="spellStart"/>
      <w:r>
        <w:t>interjuego</w:t>
      </w:r>
      <w:proofErr w:type="spellEnd"/>
      <w:r>
        <w:t xml:space="preserve"> entre sintaxis y estructura de la información. </w:t>
      </w:r>
      <w:r>
        <w:rPr>
          <w:i/>
          <w:iCs/>
        </w:rPr>
        <w:t>2218-0761</w:t>
      </w:r>
      <w:r>
        <w:t xml:space="preserve">. Recuperado de https://ri.conicet.gov.ar/handle/11336/116233 </w:t>
      </w:r>
    </w:p>
    <w:p w14:paraId="1F092B05" w14:textId="77777777" w:rsidR="009C16BC" w:rsidRDefault="009C16BC" w:rsidP="009C16BC">
      <w:pPr>
        <w:pStyle w:val="CitaviBibliografa"/>
      </w:pPr>
      <w:r>
        <w:rPr>
          <w:i/>
          <w:iCs/>
        </w:rPr>
        <w:t xml:space="preserve">Elementos de gramática del miskito. </w:t>
      </w:r>
      <w:r>
        <w:t xml:space="preserve">(1988). Recuperado de https://dspace.mit.edu/bitstream/handle/1721.1/14319/21798910-mit.pdf?sequence=2 </w:t>
      </w:r>
    </w:p>
    <w:p w14:paraId="3DC42CE4" w14:textId="77777777" w:rsidR="009C16BC" w:rsidRDefault="009C16BC" w:rsidP="009C16BC">
      <w:pPr>
        <w:pStyle w:val="CitaviBibliografa"/>
      </w:pPr>
      <w:r>
        <w:t xml:space="preserve">Estrada-Fernández, Z. (2018). Estructura de la información y expresión de tópico y foco en lenguas yuto-aztecas de la Sierra Tarahumara. </w:t>
      </w:r>
      <w:r>
        <w:rPr>
          <w:i/>
          <w:iCs/>
        </w:rPr>
        <w:t xml:space="preserve">LIAMES: </w:t>
      </w:r>
      <w:proofErr w:type="spellStart"/>
      <w:r>
        <w:rPr>
          <w:i/>
          <w:iCs/>
        </w:rPr>
        <w:t>Línguas</w:t>
      </w:r>
      <w:proofErr w:type="spellEnd"/>
      <w:r>
        <w:rPr>
          <w:i/>
          <w:iCs/>
        </w:rPr>
        <w:t xml:space="preserve"> Indígenas Americanas</w:t>
      </w:r>
      <w:r>
        <w:t xml:space="preserve">, </w:t>
      </w:r>
      <w:r>
        <w:rPr>
          <w:i/>
          <w:iCs/>
        </w:rPr>
        <w:t>18</w:t>
      </w:r>
      <w:r>
        <w:t xml:space="preserve">(1), 119–136. https://doi.org/10.20396/liames.v1i1.8648499 </w:t>
      </w:r>
    </w:p>
    <w:p w14:paraId="29FB0B02" w14:textId="77777777" w:rsidR="009C16BC" w:rsidRDefault="009C16BC" w:rsidP="009C16BC">
      <w:pPr>
        <w:pStyle w:val="CitaviBibliografa"/>
      </w:pPr>
      <w:r>
        <w:rPr>
          <w:i/>
          <w:iCs/>
        </w:rPr>
        <w:lastRenderedPageBreak/>
        <w:t>EXPRESIÓN DE FOCO EN TOBA (GUAYCURÚ). UNA APROXIMACIÓN AL INTERJUEGO ENTRE SINTAXIS Y ESTRUCTURA DE LA INFORMACIÓN.</w:t>
      </w:r>
    </w:p>
    <w:p w14:paraId="1EE21FF3" w14:textId="77777777" w:rsidR="009C16BC" w:rsidRDefault="009C16BC" w:rsidP="009C16BC">
      <w:pPr>
        <w:pStyle w:val="CitaviBibliografa"/>
        <w:rPr>
          <w:i/>
          <w:iCs/>
        </w:rPr>
      </w:pPr>
      <w:r>
        <w:t xml:space="preserve">Guzmán, J. </w:t>
      </w:r>
      <w:proofErr w:type="spellStart"/>
      <w:r>
        <w:t>Causatividad</w:t>
      </w:r>
      <w:proofErr w:type="spellEnd"/>
      <w:r>
        <w:t xml:space="preserve"> en el </w:t>
      </w:r>
      <w:proofErr w:type="spellStart"/>
      <w:r>
        <w:t>miskito</w:t>
      </w:r>
      <w:proofErr w:type="spellEnd"/>
      <w:r>
        <w:t xml:space="preserve"> (Tesis). UNISON, Hermosillo.</w:t>
      </w:r>
    </w:p>
    <w:p w14:paraId="63F0670C" w14:textId="77777777" w:rsidR="009C16BC" w:rsidRDefault="009C16BC" w:rsidP="009C16BC">
      <w:pPr>
        <w:pStyle w:val="CitaviBibliografa"/>
      </w:pPr>
      <w:r>
        <w:rPr>
          <w:i/>
          <w:iCs/>
        </w:rPr>
        <w:t xml:space="preserve">La continuidad temática en el discurso: el dominio funcional de la referencia de cambio. </w:t>
      </w:r>
      <w:r>
        <w:t xml:space="preserve">(1983). Recuperado de https://www.torrossa.com/gs/resourceproxy?an=5015860&amp;publisher=fz4850#page=68 </w:t>
      </w:r>
    </w:p>
    <w:p w14:paraId="18AE12ED" w14:textId="77777777" w:rsidR="009C16BC" w:rsidRDefault="009C16BC" w:rsidP="009C16BC">
      <w:pPr>
        <w:pStyle w:val="CitaviBibliografa"/>
      </w:pPr>
      <w:r>
        <w:rPr>
          <w:i/>
          <w:iCs/>
        </w:rPr>
        <w:t xml:space="preserve">La interfaz gramática-discurso en las construcciones de movimiento en yaqui. </w:t>
      </w:r>
      <w:r>
        <w:t xml:space="preserve">(2012). Recuperado de http://www.scielo.edu.uy/scielo.php?pid=s2079-312x2012000200009&amp;script=sci_arttext </w:t>
      </w:r>
    </w:p>
    <w:p w14:paraId="6918C039" w14:textId="77777777" w:rsidR="009C16BC" w:rsidRPr="009C16BC" w:rsidRDefault="009C16BC" w:rsidP="009C16BC">
      <w:pPr>
        <w:pStyle w:val="CitaviBibliografa"/>
        <w:rPr>
          <w:lang w:val="en-US"/>
        </w:rPr>
      </w:pPr>
      <w:r w:rsidRPr="009C16BC">
        <w:rPr>
          <w:lang w:val="en-US"/>
        </w:rPr>
        <w:t xml:space="preserve">Lambrecht, K. (1996). </w:t>
      </w:r>
      <w:r w:rsidRPr="009C16BC">
        <w:rPr>
          <w:i/>
          <w:iCs/>
          <w:lang w:val="en-US"/>
        </w:rPr>
        <w:t>Information Structure and Sentence Form: Topic, Focus, and the Mental Representations of Discourse Referents</w:t>
      </w:r>
      <w:r w:rsidRPr="009C16BC">
        <w:rPr>
          <w:lang w:val="en-US"/>
        </w:rPr>
        <w:t>: Cambridge University Press.</w:t>
      </w:r>
    </w:p>
    <w:p w14:paraId="75933866" w14:textId="77777777" w:rsidR="009C16BC" w:rsidRDefault="009C16BC" w:rsidP="009C16BC">
      <w:pPr>
        <w:pStyle w:val="CitaviBibliografa"/>
      </w:pPr>
      <w:r w:rsidRPr="009C16BC">
        <w:rPr>
          <w:lang w:val="en-US"/>
        </w:rPr>
        <w:t xml:space="preserve">MATIĆ, D. y WEDGWOOD, D. (2013). The meanings of focus: The significance of an interpretation-based category in cross-linguistic analysis. </w:t>
      </w:r>
      <w:r>
        <w:rPr>
          <w:i/>
          <w:iCs/>
        </w:rPr>
        <w:t xml:space="preserve">Journal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Linguistics</w:t>
      </w:r>
      <w:proofErr w:type="spellEnd"/>
      <w:r>
        <w:t xml:space="preserve">, </w:t>
      </w:r>
      <w:r>
        <w:rPr>
          <w:i/>
          <w:iCs/>
        </w:rPr>
        <w:t>49</w:t>
      </w:r>
      <w:r>
        <w:t xml:space="preserve">(1), 127–163. https://doi.org/10.1017/S0022226712000345 </w:t>
      </w:r>
    </w:p>
    <w:p w14:paraId="2BE79E43" w14:textId="77777777" w:rsidR="009C16BC" w:rsidRDefault="009C16BC" w:rsidP="009C16BC">
      <w:pPr>
        <w:pStyle w:val="CitaviBibliografa"/>
      </w:pPr>
      <w:r>
        <w:t xml:space="preserve">Salamanca, D. (1988). Elementos de gramática del miskito (Tesis). MIT, Massachusetts. Recuperado de https://dspace.mit.edu/bitstream/handle/1721.1/14319/21798910-mit.pdf?sequence=2 </w:t>
      </w:r>
    </w:p>
    <w:p w14:paraId="7313CA8F" w14:textId="77777777" w:rsidR="00D67635" w:rsidRDefault="00D67635" w:rsidP="009C16BC">
      <w:pPr>
        <w:pStyle w:val="CitaviBibliografa"/>
      </w:pPr>
    </w:p>
    <w:p w14:paraId="18ABB1DA" w14:textId="50D96DD7" w:rsidR="00D67635" w:rsidRPr="00FE3098" w:rsidRDefault="00D67635" w:rsidP="00D67635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FE309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>Cómo citar este trabajo (Vancouver):</w:t>
      </w:r>
      <w:r w:rsidRPr="00FE3098">
        <w:rPr>
          <w:rFonts w:eastAsia="Times New Roman" w:cstheme="minorHAnsi"/>
          <w:sz w:val="24"/>
          <w:szCs w:val="24"/>
          <w:lang w:val="es-ES" w:eastAsia="es-ES"/>
        </w:rPr>
        <w:br/>
      </w:r>
      <w:r w:rsidRPr="00FE3098">
        <w:rPr>
          <w:rFonts w:eastAsia="Times New Roman" w:cstheme="minorHAnsi"/>
          <w:sz w:val="22"/>
          <w:szCs w:val="22"/>
          <w:lang w:val="es-ES" w:eastAsia="es-ES"/>
        </w:rPr>
        <w:t xml:space="preserve">Guzmán Lanza JR. </w:t>
      </w:r>
      <w:r w:rsidRPr="00FE3098">
        <w:rPr>
          <w:rFonts w:eastAsia="Times New Roman" w:cstheme="minorHAnsi"/>
          <w:b/>
          <w:bCs/>
          <w:sz w:val="22"/>
          <w:szCs w:val="22"/>
          <w:lang w:val="es-ES" w:eastAsia="es-ES"/>
        </w:rPr>
        <w:t>ESTRUCTURA DE LA INFORMACIÓN Y LA CODIFICACIÓN DE PARTICIPANTES EN LA LENGUA MISKITA: PRIMER ACERCAMIENTO</w:t>
      </w:r>
      <w:r w:rsidRPr="00FE3098">
        <w:rPr>
          <w:rFonts w:eastAsia="Times New Roman" w:cstheme="minorHAnsi"/>
          <w:sz w:val="22"/>
          <w:szCs w:val="22"/>
          <w:lang w:val="es-ES" w:eastAsia="es-ES"/>
        </w:rPr>
        <w:t xml:space="preserve"> [resumen]. En: Vispo NS, editor. </w:t>
      </w:r>
      <w:r w:rsidRPr="00FE3098">
        <w:rPr>
          <w:rFonts w:eastAsia="Times New Roman" w:cstheme="minorHAnsi"/>
          <w:i/>
          <w:iCs/>
          <w:sz w:val="22"/>
          <w:szCs w:val="22"/>
          <w:lang w:val="es-ES" w:eastAsia="es-ES"/>
        </w:rPr>
        <w:t>Memorias del Congreso de Investigación y Posgrado UNAH 2024: Libro de resúmenes</w:t>
      </w:r>
      <w:r w:rsidRPr="00FE3098">
        <w:rPr>
          <w:rFonts w:eastAsia="Times New Roman" w:cstheme="minorHAnsi"/>
          <w:sz w:val="22"/>
          <w:szCs w:val="22"/>
          <w:lang w:val="es-ES" w:eastAsia="es-ES"/>
        </w:rPr>
        <w:t xml:space="preserve">. Madrid/Tegucigalpa: Clinical Biotec S.L.; Universidad Nacional Autónoma de Honduras; 2024. </w:t>
      </w:r>
      <w:proofErr w:type="spellStart"/>
      <w:r w:rsidRPr="00FE3098">
        <w:rPr>
          <w:rFonts w:eastAsia="Times New Roman" w:cstheme="minorHAnsi"/>
          <w:sz w:val="22"/>
          <w:szCs w:val="22"/>
          <w:lang w:val="es-ES" w:eastAsia="es-ES"/>
        </w:rPr>
        <w:t>doi</w:t>
      </w:r>
      <w:proofErr w:type="spellEnd"/>
      <w:r w:rsidRPr="00FE3098">
        <w:rPr>
          <w:rFonts w:eastAsia="Times New Roman" w:cstheme="minorHAnsi"/>
          <w:sz w:val="22"/>
          <w:szCs w:val="22"/>
          <w:lang w:val="es-ES" w:eastAsia="es-ES"/>
        </w:rPr>
        <w:t>: 10.70099/</w:t>
      </w:r>
      <w:proofErr w:type="spellStart"/>
      <w:r w:rsidRPr="00FE3098">
        <w:rPr>
          <w:rFonts w:eastAsia="Times New Roman" w:cstheme="minorHAnsi"/>
          <w:sz w:val="22"/>
          <w:szCs w:val="22"/>
          <w:lang w:val="es-ES" w:eastAsia="es-ES"/>
        </w:rPr>
        <w:t>cb</w:t>
      </w:r>
      <w:proofErr w:type="spellEnd"/>
      <w:r w:rsidRPr="00FE3098">
        <w:rPr>
          <w:rFonts w:eastAsia="Times New Roman" w:cstheme="minorHAnsi"/>
          <w:sz w:val="22"/>
          <w:szCs w:val="22"/>
          <w:lang w:val="es-ES" w:eastAsia="es-ES"/>
        </w:rPr>
        <w:t>/</w:t>
      </w:r>
      <w:proofErr w:type="spellStart"/>
      <w:r w:rsidRPr="00FE3098">
        <w:rPr>
          <w:rFonts w:eastAsia="Times New Roman" w:cstheme="minorHAnsi"/>
          <w:sz w:val="22"/>
          <w:szCs w:val="22"/>
          <w:lang w:val="es-ES" w:eastAsia="es-ES"/>
        </w:rPr>
        <w:t>unah</w:t>
      </w:r>
      <w:proofErr w:type="spellEnd"/>
      <w:r w:rsidRPr="00FE3098">
        <w:rPr>
          <w:rFonts w:eastAsia="Times New Roman" w:cstheme="minorHAnsi"/>
          <w:sz w:val="22"/>
          <w:szCs w:val="22"/>
          <w:lang w:val="es-ES" w:eastAsia="es-ES"/>
        </w:rPr>
        <w:t>/2024.mem</w:t>
      </w:r>
    </w:p>
    <w:p w14:paraId="0DD2AC46" w14:textId="77777777" w:rsidR="00D67635" w:rsidRPr="00FE3098" w:rsidRDefault="00D67635" w:rsidP="00D67635">
      <w:pPr>
        <w:spacing w:before="100" w:beforeAutospacing="1" w:after="100" w:afterAutospacing="1" w:line="240" w:lineRule="auto"/>
        <w:rPr>
          <w:rFonts w:eastAsia="Times New Roman" w:cstheme="minorHAnsi"/>
          <w:sz w:val="22"/>
          <w:szCs w:val="22"/>
          <w:lang w:val="es-ES" w:eastAsia="es-ES"/>
        </w:rPr>
      </w:pPr>
      <w:r w:rsidRPr="00FE3098"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s-ES"/>
        </w:rPr>
        <w:t xml:space="preserve">ISBN del libro: </w:t>
      </w:r>
      <w:r w:rsidRPr="00FE3098">
        <w:rPr>
          <w:rFonts w:eastAsia="Times New Roman" w:cstheme="minorHAnsi"/>
          <w:sz w:val="22"/>
          <w:szCs w:val="22"/>
          <w:lang w:val="es-ES" w:eastAsia="es-ES"/>
        </w:rPr>
        <w:t>978-84-09-76685-7</w:t>
      </w:r>
    </w:p>
    <w:p w14:paraId="3B94E7F5" w14:textId="77777777" w:rsidR="00D67635" w:rsidRDefault="00D67635" w:rsidP="009C16BC">
      <w:pPr>
        <w:pStyle w:val="CitaviBibliografa"/>
      </w:pPr>
    </w:p>
    <w:sectPr w:rsidR="00D67635" w:rsidSect="008E6832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A17C" w14:textId="77777777" w:rsidR="00FA6A3A" w:rsidRDefault="00FA6A3A" w:rsidP="00F95B96">
      <w:pPr>
        <w:spacing w:after="0" w:line="240" w:lineRule="auto"/>
      </w:pPr>
      <w:r>
        <w:separator/>
      </w:r>
    </w:p>
  </w:endnote>
  <w:endnote w:type="continuationSeparator" w:id="0">
    <w:p w14:paraId="6B2D47D0" w14:textId="77777777" w:rsidR="00FA6A3A" w:rsidRDefault="00FA6A3A" w:rsidP="00F9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F27" w14:textId="61538923" w:rsidR="00310338" w:rsidRDefault="00310338">
    <w:pPr>
      <w:pStyle w:val="Piedepgina"/>
      <w:jc w:val="center"/>
    </w:pPr>
  </w:p>
  <w:p w14:paraId="18B4C131" w14:textId="3989D154" w:rsidR="00FF69AB" w:rsidRDefault="00FF69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AA5B" w14:textId="77777777" w:rsidR="00FA6A3A" w:rsidRDefault="00FA6A3A" w:rsidP="00F95B96">
      <w:pPr>
        <w:spacing w:after="0" w:line="240" w:lineRule="auto"/>
      </w:pPr>
      <w:r>
        <w:separator/>
      </w:r>
    </w:p>
  </w:footnote>
  <w:footnote w:type="continuationSeparator" w:id="0">
    <w:p w14:paraId="64FE1EE4" w14:textId="77777777" w:rsidR="00FA6A3A" w:rsidRDefault="00FA6A3A" w:rsidP="00F9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6F6A" w14:textId="6FE940F3" w:rsidR="00FF69AB" w:rsidRDefault="00FF69AB" w:rsidP="00BE65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0D"/>
    <w:multiLevelType w:val="hybridMultilevel"/>
    <w:tmpl w:val="0B3EA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90987"/>
    <w:multiLevelType w:val="hybridMultilevel"/>
    <w:tmpl w:val="53983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45AC2"/>
    <w:multiLevelType w:val="hybridMultilevel"/>
    <w:tmpl w:val="1994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C174B"/>
    <w:multiLevelType w:val="hybridMultilevel"/>
    <w:tmpl w:val="88780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9633DB"/>
    <w:multiLevelType w:val="hybridMultilevel"/>
    <w:tmpl w:val="D2CA23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5B4"/>
    <w:multiLevelType w:val="hybridMultilevel"/>
    <w:tmpl w:val="0C7ADEAE"/>
    <w:lvl w:ilvl="0" w:tplc="CBE801B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56961">
    <w:abstractNumId w:val="0"/>
  </w:num>
  <w:num w:numId="2" w16cid:durableId="167914131">
    <w:abstractNumId w:val="3"/>
  </w:num>
  <w:num w:numId="3" w16cid:durableId="330108600">
    <w:abstractNumId w:val="1"/>
  </w:num>
  <w:num w:numId="4" w16cid:durableId="1930966316">
    <w:abstractNumId w:val="2"/>
  </w:num>
  <w:num w:numId="5" w16cid:durableId="1385369934">
    <w:abstractNumId w:val="5"/>
  </w:num>
  <w:num w:numId="6" w16cid:durableId="830174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NjUwtDAzNjcyNjJX0lEKTi0uzszPAykwrgUAqsmLmiwAAAA="/>
  </w:docVars>
  <w:rsids>
    <w:rsidRoot w:val="00A94CC0"/>
    <w:rsid w:val="00000B0B"/>
    <w:rsid w:val="000452F6"/>
    <w:rsid w:val="00054037"/>
    <w:rsid w:val="00055F10"/>
    <w:rsid w:val="0008504D"/>
    <w:rsid w:val="000B44A9"/>
    <w:rsid w:val="000B5191"/>
    <w:rsid w:val="000B7754"/>
    <w:rsid w:val="00130335"/>
    <w:rsid w:val="00132724"/>
    <w:rsid w:val="001C0326"/>
    <w:rsid w:val="001D22DC"/>
    <w:rsid w:val="001F25C7"/>
    <w:rsid w:val="00224431"/>
    <w:rsid w:val="00236494"/>
    <w:rsid w:val="00246790"/>
    <w:rsid w:val="002473A6"/>
    <w:rsid w:val="002900B7"/>
    <w:rsid w:val="002C451B"/>
    <w:rsid w:val="002C7834"/>
    <w:rsid w:val="002E55A6"/>
    <w:rsid w:val="00310338"/>
    <w:rsid w:val="00345CA4"/>
    <w:rsid w:val="00351A03"/>
    <w:rsid w:val="00370B92"/>
    <w:rsid w:val="00397668"/>
    <w:rsid w:val="00397E88"/>
    <w:rsid w:val="00410D1D"/>
    <w:rsid w:val="004D0F93"/>
    <w:rsid w:val="004E75B7"/>
    <w:rsid w:val="005537D4"/>
    <w:rsid w:val="00556795"/>
    <w:rsid w:val="00583924"/>
    <w:rsid w:val="005D2ADD"/>
    <w:rsid w:val="005D2C17"/>
    <w:rsid w:val="005E45D2"/>
    <w:rsid w:val="005F424F"/>
    <w:rsid w:val="005F4262"/>
    <w:rsid w:val="006149F7"/>
    <w:rsid w:val="00635186"/>
    <w:rsid w:val="00642A3F"/>
    <w:rsid w:val="006C1E5B"/>
    <w:rsid w:val="006C7145"/>
    <w:rsid w:val="006D6405"/>
    <w:rsid w:val="006E4672"/>
    <w:rsid w:val="007A66BA"/>
    <w:rsid w:val="007D1029"/>
    <w:rsid w:val="00801CE4"/>
    <w:rsid w:val="0081349F"/>
    <w:rsid w:val="0083320A"/>
    <w:rsid w:val="008771AA"/>
    <w:rsid w:val="008A40D1"/>
    <w:rsid w:val="008D349A"/>
    <w:rsid w:val="008E6832"/>
    <w:rsid w:val="00931DF5"/>
    <w:rsid w:val="009508C3"/>
    <w:rsid w:val="0098403D"/>
    <w:rsid w:val="00993478"/>
    <w:rsid w:val="009A368B"/>
    <w:rsid w:val="009B2CFB"/>
    <w:rsid w:val="009C16BC"/>
    <w:rsid w:val="00A14C00"/>
    <w:rsid w:val="00A32B65"/>
    <w:rsid w:val="00A35EEF"/>
    <w:rsid w:val="00A72509"/>
    <w:rsid w:val="00A94CC0"/>
    <w:rsid w:val="00B16BFC"/>
    <w:rsid w:val="00B4418F"/>
    <w:rsid w:val="00BA5F07"/>
    <w:rsid w:val="00BE65A1"/>
    <w:rsid w:val="00C24EB7"/>
    <w:rsid w:val="00C465CB"/>
    <w:rsid w:val="00C52F7E"/>
    <w:rsid w:val="00C83646"/>
    <w:rsid w:val="00C911B4"/>
    <w:rsid w:val="00CC7B03"/>
    <w:rsid w:val="00CD0D43"/>
    <w:rsid w:val="00CE169C"/>
    <w:rsid w:val="00CF1C26"/>
    <w:rsid w:val="00D367B5"/>
    <w:rsid w:val="00D44B30"/>
    <w:rsid w:val="00D67635"/>
    <w:rsid w:val="00DB5F93"/>
    <w:rsid w:val="00DD7AB4"/>
    <w:rsid w:val="00DE1B16"/>
    <w:rsid w:val="00E10469"/>
    <w:rsid w:val="00E35D9B"/>
    <w:rsid w:val="00E42D94"/>
    <w:rsid w:val="00F133F3"/>
    <w:rsid w:val="00F25192"/>
    <w:rsid w:val="00F91C59"/>
    <w:rsid w:val="00F95B96"/>
    <w:rsid w:val="00FA6A3A"/>
    <w:rsid w:val="00FC0CDB"/>
    <w:rsid w:val="00FD21E4"/>
    <w:rsid w:val="00FE3098"/>
    <w:rsid w:val="00FF69AB"/>
    <w:rsid w:val="00FF731D"/>
    <w:rsid w:val="347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8DCF"/>
  <w15:chartTrackingRefBased/>
  <w15:docId w15:val="{0D93CF78-DCBE-4C94-86AE-6D6C3582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45"/>
  </w:style>
  <w:style w:type="paragraph" w:styleId="Ttulo1">
    <w:name w:val="heading 1"/>
    <w:basedOn w:val="Normal"/>
    <w:next w:val="Normal"/>
    <w:link w:val="Ttulo1Car"/>
    <w:uiPriority w:val="9"/>
    <w:qFormat/>
    <w:rsid w:val="006C714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14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14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14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1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1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1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14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B96"/>
  </w:style>
  <w:style w:type="paragraph" w:styleId="Piedepgina">
    <w:name w:val="footer"/>
    <w:basedOn w:val="Normal"/>
    <w:link w:val="PiedepginaCar"/>
    <w:uiPriority w:val="99"/>
    <w:unhideWhenUsed/>
    <w:rsid w:val="00F95B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B96"/>
  </w:style>
  <w:style w:type="table" w:styleId="Tablanormal1">
    <w:name w:val="Plain Table 1"/>
    <w:basedOn w:val="Tablanormal"/>
    <w:uiPriority w:val="41"/>
    <w:rsid w:val="00CC7B03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0452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52F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52F6"/>
    <w:rPr>
      <w:vertAlign w:val="superscript"/>
    </w:rPr>
  </w:style>
  <w:style w:type="paragraph" w:customStyle="1" w:styleId="Pag2Abstract">
    <w:name w:val="Pag 2 Abstract"/>
    <w:basedOn w:val="Normal"/>
    <w:rsid w:val="0083320A"/>
    <w:pPr>
      <w:spacing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color w:val="7F7F7F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D0F93"/>
    <w:rPr>
      <w:color w:val="808080"/>
    </w:rPr>
  </w:style>
  <w:style w:type="paragraph" w:customStyle="1" w:styleId="xyiv8860812411msonormal">
    <w:name w:val="x_yiv8860812411msonormal"/>
    <w:basedOn w:val="Normal"/>
    <w:rsid w:val="00246790"/>
    <w:pPr>
      <w:spacing w:after="0" w:line="240" w:lineRule="auto"/>
    </w:pPr>
    <w:rPr>
      <w:rFonts w:ascii="Calibri" w:hAnsi="Calibri" w:cs="Calibri"/>
      <w:lang w:val="es-HN" w:eastAsia="es-HN"/>
    </w:rPr>
  </w:style>
  <w:style w:type="paragraph" w:customStyle="1" w:styleId="Default">
    <w:name w:val="Default"/>
    <w:rsid w:val="00DE1B1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C71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14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14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14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14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14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14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145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714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714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C714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14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145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C7145"/>
    <w:rPr>
      <w:b/>
      <w:bCs/>
    </w:rPr>
  </w:style>
  <w:style w:type="character" w:styleId="nfasis">
    <w:name w:val="Emphasis"/>
    <w:basedOn w:val="Fuentedeprrafopredeter"/>
    <w:uiPriority w:val="20"/>
    <w:qFormat/>
    <w:rsid w:val="006C7145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6C714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714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C7145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14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14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C714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C7145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6C714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7145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6C7145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7145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9A36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368B"/>
    <w:rPr>
      <w:color w:val="605E5C"/>
      <w:shd w:val="clear" w:color="auto" w:fill="E1DFDD"/>
    </w:rPr>
  </w:style>
  <w:style w:type="paragraph" w:customStyle="1" w:styleId="CitaviBibliografa">
    <w:name w:val="Citavi Bibliografía"/>
    <w:basedOn w:val="Normal"/>
    <w:rsid w:val="009C16BC"/>
    <w:pPr>
      <w:spacing w:after="60" w:line="259" w:lineRule="auto"/>
      <w:ind w:left="283" w:hanging="283"/>
    </w:pPr>
    <w:rPr>
      <w:rFonts w:ascii="Calibri" w:eastAsia="Calibri" w:hAnsi="Calibri" w:cs="Calibri"/>
      <w:sz w:val="22"/>
      <w:szCs w:val="22"/>
      <w:lang w:val="es-HN"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guzman@unah.edu.h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do.it/p/gordo-thetri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2E9773B-9407-47DA-AA67-9BCE3939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UNAH</dc:creator>
  <cp:keywords/>
  <dc:description/>
  <cp:lastModifiedBy>Bionatura Journal</cp:lastModifiedBy>
  <cp:revision>4</cp:revision>
  <cp:lastPrinted>2024-07-16T19:55:00Z</cp:lastPrinted>
  <dcterms:created xsi:type="dcterms:W3CDTF">2025-06-17T12:05:00Z</dcterms:created>
  <dcterms:modified xsi:type="dcterms:W3CDTF">2025-10-29T19:14:00Z</dcterms:modified>
</cp:coreProperties>
</file>