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F11A" w14:textId="1F1C7DC2" w:rsidR="00C20658" w:rsidRPr="008B0EBE" w:rsidRDefault="000C6A91" w:rsidP="000C6A91">
      <w:pPr>
        <w:spacing w:line="360" w:lineRule="auto"/>
        <w:ind w:right="116"/>
        <w:rPr>
          <w:rFonts w:asciiTheme="minorHAnsi" w:eastAsiaTheme="majorEastAsia" w:hAnsiTheme="minorHAnsi" w:cstheme="minorHAnsi"/>
          <w:b/>
          <w:bCs/>
          <w:color w:val="2E74B5" w:themeColor="accent1" w:themeShade="BF"/>
          <w:sz w:val="28"/>
          <w:szCs w:val="28"/>
          <w:lang w:val="es-ES"/>
        </w:rPr>
      </w:pPr>
      <w:r w:rsidRPr="008B0EBE">
        <w:rPr>
          <w:rFonts w:asciiTheme="minorHAnsi" w:eastAsiaTheme="majorEastAsia" w:hAnsiTheme="minorHAnsi" w:cstheme="minorHAnsi"/>
          <w:b/>
          <w:bCs/>
          <w:color w:val="2E74B5" w:themeColor="accent1" w:themeShade="BF"/>
          <w:sz w:val="28"/>
          <w:szCs w:val="28"/>
          <w:lang w:val="es-ES"/>
        </w:rPr>
        <w:t>ÉXODO DESDE LA MOSQUITIA HASTA SAN PEDRO SULA, MIRADA Y ANÁLISIS ANTE ESA REALIDAD</w:t>
      </w:r>
    </w:p>
    <w:p w14:paraId="4F827F4C" w14:textId="69E1F724" w:rsidR="00C20658" w:rsidRPr="008B0EBE" w:rsidRDefault="00C20658" w:rsidP="000C6A91">
      <w:pPr>
        <w:spacing w:line="360" w:lineRule="auto"/>
        <w:ind w:right="116"/>
        <w:rPr>
          <w:rFonts w:asciiTheme="minorHAnsi" w:eastAsia="Arial MT" w:hAnsiTheme="minorHAnsi" w:cstheme="minorHAnsi"/>
          <w:lang w:val="es-HN"/>
        </w:rPr>
      </w:pPr>
      <w:r w:rsidRPr="008B0EBE">
        <w:rPr>
          <w:rFonts w:asciiTheme="minorHAnsi" w:eastAsiaTheme="majorEastAsia" w:hAnsiTheme="minorHAnsi" w:cstheme="minorHAnsi"/>
          <w:b/>
          <w:bCs/>
          <w:color w:val="5B9BD5" w:themeColor="accent1"/>
          <w:sz w:val="26"/>
          <w:szCs w:val="26"/>
          <w:lang w:val="es-ES"/>
        </w:rPr>
        <w:t>Angie Gabriela Borjas Medina</w:t>
      </w:r>
      <w:r w:rsidRPr="008B0EBE">
        <w:rPr>
          <w:rFonts w:asciiTheme="minorHAnsi" w:eastAsiaTheme="majorEastAsia" w:hAnsiTheme="minorHAnsi" w:cstheme="minorHAnsi"/>
          <w:b/>
          <w:bCs/>
          <w:color w:val="5B9BD5" w:themeColor="accent1"/>
          <w:sz w:val="26"/>
          <w:szCs w:val="26"/>
          <w:vertAlign w:val="superscript"/>
          <w:lang w:val="es-ES"/>
        </w:rPr>
        <w:t>1</w:t>
      </w:r>
      <w:r w:rsidRPr="008B0EBE">
        <w:rPr>
          <w:rFonts w:asciiTheme="minorHAnsi" w:eastAsiaTheme="majorEastAsia" w:hAnsiTheme="minorHAnsi" w:cstheme="minorHAnsi"/>
          <w:b/>
          <w:bCs/>
          <w:color w:val="5B9BD5" w:themeColor="accent1"/>
          <w:sz w:val="26"/>
          <w:szCs w:val="26"/>
          <w:lang w:val="es-ES"/>
        </w:rPr>
        <w:t>, Edna Roxana Molina Melgar</w:t>
      </w:r>
      <w:r w:rsidRPr="008B0EBE">
        <w:rPr>
          <w:rFonts w:asciiTheme="minorHAnsi" w:eastAsiaTheme="majorEastAsia" w:hAnsiTheme="minorHAnsi" w:cstheme="minorHAnsi"/>
          <w:b/>
          <w:bCs/>
          <w:color w:val="5B9BD5" w:themeColor="accent1"/>
          <w:sz w:val="26"/>
          <w:szCs w:val="26"/>
          <w:vertAlign w:val="superscript"/>
          <w:lang w:val="es-ES"/>
        </w:rPr>
        <w:t>1</w:t>
      </w:r>
      <w:r w:rsidRPr="008B0EBE">
        <w:rPr>
          <w:rFonts w:asciiTheme="minorHAnsi" w:eastAsiaTheme="majorEastAsia" w:hAnsiTheme="minorHAnsi" w:cstheme="minorHAnsi"/>
          <w:b/>
          <w:bCs/>
          <w:color w:val="5B9BD5" w:themeColor="accent1"/>
          <w:sz w:val="26"/>
          <w:szCs w:val="26"/>
          <w:lang w:val="es-ES"/>
        </w:rPr>
        <w:t xml:space="preserve">, </w:t>
      </w:r>
      <w:proofErr w:type="spellStart"/>
      <w:r w:rsidRPr="008B0EBE">
        <w:rPr>
          <w:rFonts w:asciiTheme="minorHAnsi" w:eastAsiaTheme="majorEastAsia" w:hAnsiTheme="minorHAnsi" w:cstheme="minorHAnsi"/>
          <w:b/>
          <w:bCs/>
          <w:color w:val="5B9BD5" w:themeColor="accent1"/>
          <w:sz w:val="26"/>
          <w:szCs w:val="26"/>
          <w:lang w:val="es-ES"/>
        </w:rPr>
        <w:t>Roxany</w:t>
      </w:r>
      <w:proofErr w:type="spellEnd"/>
      <w:r w:rsidRPr="008B0EBE">
        <w:rPr>
          <w:rFonts w:asciiTheme="minorHAnsi" w:eastAsiaTheme="majorEastAsia" w:hAnsiTheme="minorHAnsi" w:cstheme="minorHAnsi"/>
          <w:b/>
          <w:bCs/>
          <w:color w:val="5B9BD5" w:themeColor="accent1"/>
          <w:sz w:val="26"/>
          <w:szCs w:val="26"/>
          <w:lang w:val="es-ES"/>
        </w:rPr>
        <w:t xml:space="preserve"> Daniela Castro Lozano</w:t>
      </w:r>
      <w:r w:rsidRPr="008B0EBE">
        <w:rPr>
          <w:rFonts w:asciiTheme="minorHAnsi" w:eastAsiaTheme="majorEastAsia" w:hAnsiTheme="minorHAnsi" w:cstheme="minorHAnsi"/>
          <w:b/>
          <w:bCs/>
          <w:color w:val="5B9BD5" w:themeColor="accent1"/>
          <w:sz w:val="26"/>
          <w:szCs w:val="26"/>
          <w:vertAlign w:val="superscript"/>
          <w:lang w:val="es-ES"/>
        </w:rPr>
        <w:t>2</w:t>
      </w:r>
      <w:r w:rsidRPr="008B0EBE">
        <w:rPr>
          <w:rFonts w:asciiTheme="minorHAnsi" w:eastAsiaTheme="majorEastAsia" w:hAnsiTheme="minorHAnsi" w:cstheme="minorHAnsi"/>
          <w:b/>
          <w:bCs/>
          <w:color w:val="5B9BD5" w:themeColor="accent1"/>
          <w:sz w:val="26"/>
          <w:szCs w:val="26"/>
          <w:lang w:val="es-ES"/>
        </w:rPr>
        <w:t xml:space="preserve">, Stephany Jeanneth Chávez Cabrera, Luis Andrés Cruz Alvarenga </w:t>
      </w:r>
    </w:p>
    <w:p w14:paraId="5C5A7354" w14:textId="77777777" w:rsidR="00C20658" w:rsidRPr="000C6A91" w:rsidRDefault="00C20658" w:rsidP="000C6A91">
      <w:pPr>
        <w:spacing w:line="360" w:lineRule="auto"/>
        <w:ind w:left="-142" w:right="116" w:firstLine="142"/>
        <w:rPr>
          <w:rFonts w:ascii="Times New Roman" w:hAnsi="Times New Roman"/>
          <w:b/>
          <w:bCs/>
          <w:i/>
          <w:color w:val="5B9BD5" w:themeColor="accent1"/>
          <w:sz w:val="20"/>
          <w:szCs w:val="26"/>
          <w:lang w:val="es-ES"/>
        </w:rPr>
      </w:pPr>
      <w:r w:rsidRPr="000C6A91">
        <w:rPr>
          <w:rFonts w:ascii="Times New Roman" w:hAnsi="Times New Roman"/>
          <w:b/>
          <w:bCs/>
          <w:i/>
          <w:color w:val="5B9BD5" w:themeColor="accent1"/>
          <w:sz w:val="20"/>
          <w:szCs w:val="26"/>
          <w:vertAlign w:val="superscript"/>
          <w:lang w:val="es-ES"/>
        </w:rPr>
        <w:t>1</w:t>
      </w:r>
      <w:r w:rsidRPr="000C6A91">
        <w:rPr>
          <w:rFonts w:ascii="Times New Roman" w:hAnsi="Times New Roman"/>
          <w:b/>
          <w:bCs/>
          <w:i/>
          <w:color w:val="5B9BD5" w:themeColor="accent1"/>
          <w:sz w:val="20"/>
          <w:szCs w:val="26"/>
          <w:lang w:val="es-ES"/>
        </w:rPr>
        <w:t xml:space="preserve">Universidad Nacional Autónoma de Honduras, Cortés (UNAH-Cortés), San Pedro Sula, Honduras. </w:t>
      </w:r>
    </w:p>
    <w:p w14:paraId="15074CDD" w14:textId="77777777" w:rsidR="00C20658" w:rsidRPr="000C6A91" w:rsidRDefault="00C20658" w:rsidP="000C6A91">
      <w:pPr>
        <w:spacing w:before="171" w:line="360" w:lineRule="auto"/>
        <w:ind w:left="-142" w:right="115" w:firstLine="142"/>
        <w:rPr>
          <w:rFonts w:ascii="Times New Roman" w:hAnsi="Times New Roman"/>
          <w:b/>
          <w:bCs/>
          <w:i/>
          <w:color w:val="5B9BD5" w:themeColor="accent1"/>
          <w:sz w:val="20"/>
          <w:szCs w:val="26"/>
          <w:lang w:val="es-ES"/>
        </w:rPr>
      </w:pPr>
      <w:r w:rsidRPr="000C6A91">
        <w:rPr>
          <w:rFonts w:ascii="Times New Roman" w:hAnsi="Times New Roman"/>
          <w:b/>
          <w:bCs/>
          <w:i/>
          <w:color w:val="5B9BD5" w:themeColor="accent1"/>
          <w:sz w:val="20"/>
          <w:szCs w:val="26"/>
          <w:vertAlign w:val="superscript"/>
          <w:lang w:val="es-ES"/>
        </w:rPr>
        <w:t>2</w:t>
      </w:r>
      <w:r w:rsidRPr="000C6A91">
        <w:rPr>
          <w:rFonts w:ascii="Times New Roman" w:hAnsi="Times New Roman"/>
          <w:b/>
          <w:bCs/>
          <w:i/>
          <w:color w:val="5B9BD5" w:themeColor="accent1"/>
          <w:sz w:val="20"/>
          <w:szCs w:val="26"/>
          <w:lang w:val="es-ES"/>
        </w:rPr>
        <w:t>Grupo de Investigación en Ciencias Sociales, UNAH Cortés, San Pedro Sula, Honduras</w:t>
      </w:r>
    </w:p>
    <w:p w14:paraId="541C6A9D" w14:textId="496C99A2" w:rsidR="00C20658" w:rsidRPr="00C20658" w:rsidRDefault="000C6A91" w:rsidP="000C6A91">
      <w:pPr>
        <w:spacing w:before="171" w:line="360" w:lineRule="auto"/>
        <w:ind w:right="115"/>
        <w:rPr>
          <w:rFonts w:ascii="Calibri Light" w:eastAsia="Arial MT" w:hAnsi="Calibri Light" w:cs="Calibri Light"/>
          <w:i/>
          <w:sz w:val="20"/>
          <w:szCs w:val="20"/>
          <w:lang w:val="es-HN"/>
        </w:rPr>
      </w:pPr>
      <w:r w:rsidRPr="008B0EBE">
        <w:rPr>
          <w:rFonts w:asciiTheme="minorHAnsi" w:eastAsiaTheme="majorEastAsia" w:hAnsiTheme="minorHAnsi" w:cstheme="minorHAnsi"/>
          <w:b/>
          <w:bCs/>
          <w:color w:val="5B9BD5" w:themeColor="accent1"/>
          <w:sz w:val="26"/>
          <w:szCs w:val="26"/>
          <w:lang w:val="es-ES"/>
        </w:rPr>
        <w:t>Correo del autor correspondiente:</w:t>
      </w:r>
      <w:r>
        <w:rPr>
          <w:lang w:val="es-ES"/>
        </w:rPr>
        <w:t xml:space="preserve"> </w:t>
      </w:r>
      <w:r w:rsidR="00C20658" w:rsidRPr="000C6A91">
        <w:rPr>
          <w:rFonts w:ascii="Times New Roman" w:hAnsi="Times New Roman"/>
          <w:b/>
          <w:bCs/>
          <w:i/>
          <w:color w:val="5B9BD5" w:themeColor="accent1"/>
          <w:sz w:val="20"/>
          <w:szCs w:val="26"/>
          <w:lang w:val="es-ES"/>
        </w:rPr>
        <w:t xml:space="preserve">Angie Gabriela Borjas Medina: </w:t>
      </w:r>
      <w:hyperlink r:id="rId5" w:history="1">
        <w:r w:rsidR="00C20658" w:rsidRPr="000C6A91">
          <w:rPr>
            <w:rFonts w:ascii="Times New Roman" w:hAnsi="Times New Roman"/>
            <w:b/>
            <w:bCs/>
            <w:i/>
            <w:color w:val="5B9BD5" w:themeColor="accent1"/>
            <w:sz w:val="20"/>
            <w:szCs w:val="26"/>
            <w:lang w:val="es-ES"/>
          </w:rPr>
          <w:t xml:space="preserve">agborjasm@unah.edu </w:t>
        </w:r>
      </w:hyperlink>
    </w:p>
    <w:p w14:paraId="6132E8F1" w14:textId="77777777" w:rsidR="00C20658" w:rsidRPr="00C20658" w:rsidRDefault="00C20658" w:rsidP="00C20658">
      <w:pPr>
        <w:pStyle w:val="Textoindependiente1"/>
        <w:spacing w:line="360" w:lineRule="auto"/>
        <w:rPr>
          <w:rFonts w:ascii="Calibri Light" w:eastAsia="Arial MT" w:hAnsi="Calibri Light" w:cs="Calibri Light"/>
          <w:i/>
          <w:sz w:val="20"/>
          <w:szCs w:val="20"/>
          <w:lang w:val="es-HN"/>
        </w:rPr>
      </w:pPr>
      <w:r w:rsidRPr="00C20658">
        <w:rPr>
          <w:rFonts w:ascii="Calibri Light" w:eastAsia="Arial MT" w:hAnsi="Calibri Light" w:cs="Calibri Light"/>
          <w:i/>
          <w:sz w:val="20"/>
          <w:szCs w:val="20"/>
          <w:lang w:val="es-HN"/>
        </w:rPr>
        <w:t xml:space="preserve"> </w:t>
      </w:r>
    </w:p>
    <w:p w14:paraId="791F5291" w14:textId="67CFBB41" w:rsidR="00C20658" w:rsidRPr="008B0EBE" w:rsidRDefault="000C6A91" w:rsidP="000C6A91">
      <w:pPr>
        <w:pStyle w:val="Ttulo21"/>
        <w:spacing w:before="139" w:beforeAutospacing="0" w:line="360" w:lineRule="auto"/>
        <w:ind w:left="0"/>
        <w:rPr>
          <w:rFonts w:asciiTheme="minorHAnsi" w:eastAsiaTheme="majorEastAsia" w:hAnsiTheme="minorHAnsi" w:cstheme="minorHAnsi"/>
          <w:color w:val="2E74B5" w:themeColor="accent1" w:themeShade="BF"/>
          <w:sz w:val="28"/>
          <w:szCs w:val="28"/>
          <w:lang w:val="es-ES"/>
        </w:rPr>
      </w:pPr>
      <w:r w:rsidRPr="008B0EBE">
        <w:rPr>
          <w:rFonts w:asciiTheme="minorHAnsi" w:eastAsiaTheme="majorEastAsia" w:hAnsiTheme="minorHAnsi" w:cstheme="minorHAnsi"/>
          <w:color w:val="2E74B5" w:themeColor="accent1" w:themeShade="BF"/>
          <w:sz w:val="28"/>
          <w:szCs w:val="28"/>
          <w:lang w:val="es-ES"/>
        </w:rPr>
        <w:t>INTRODUCCIÓN</w:t>
      </w:r>
    </w:p>
    <w:p w14:paraId="41AF8FE5" w14:textId="77777777" w:rsidR="00C20658" w:rsidRPr="008B0EBE" w:rsidRDefault="00C20658" w:rsidP="0005453D">
      <w:pPr>
        <w:jc w:val="both"/>
        <w:rPr>
          <w:rFonts w:asciiTheme="minorHAnsi" w:eastAsia="Arial MT" w:hAnsiTheme="minorHAnsi" w:cstheme="minorHAnsi"/>
          <w:lang w:val="es-HN"/>
        </w:rPr>
      </w:pPr>
      <w:r w:rsidRPr="008B0EBE">
        <w:rPr>
          <w:rFonts w:asciiTheme="minorHAnsi" w:eastAsia="Arial MT" w:hAnsiTheme="minorHAnsi" w:cstheme="minorHAnsi"/>
          <w:lang w:val="es-HN"/>
        </w:rPr>
        <w:t xml:space="preserve">El desplazamiento misquito a zonas urbanas es un fenómeno que ha cobrado relevancia en los últimos cinco años, evidenciando un cambio significativo en la dinámica poblacional de esta región. Este movimiento migratorio plantea interrogantes sobre las causas y consecuencias de esta transición, así como los impactos socioeconómicos y culturales que se derivan de ella. En esta investigación expondrán los motivos que impulsan a los habitantes de la </w:t>
      </w:r>
      <w:proofErr w:type="spellStart"/>
      <w:r w:rsidRPr="008B0EBE">
        <w:rPr>
          <w:rFonts w:asciiTheme="minorHAnsi" w:eastAsia="Arial MT" w:hAnsiTheme="minorHAnsi" w:cstheme="minorHAnsi"/>
          <w:lang w:val="es-HN"/>
        </w:rPr>
        <w:t>Mosquitia</w:t>
      </w:r>
      <w:proofErr w:type="spellEnd"/>
      <w:r w:rsidRPr="008B0EBE">
        <w:rPr>
          <w:rFonts w:asciiTheme="minorHAnsi" w:eastAsia="Arial MT" w:hAnsiTheme="minorHAnsi" w:cstheme="minorHAnsi"/>
          <w:lang w:val="es-HN"/>
        </w:rPr>
        <w:t xml:space="preserve"> a abandonar sus hogares en busca de nuevas oportunidades en entornos urbanos, analizando los factores que influyen en este proceso y sus implicaciones a nivel individual y comunitario. </w:t>
      </w:r>
    </w:p>
    <w:p w14:paraId="07300A8E" w14:textId="55D5232F" w:rsidR="00C20658" w:rsidRPr="008B0EBE" w:rsidRDefault="000C6A91" w:rsidP="000C6A91">
      <w:pPr>
        <w:pStyle w:val="Ttulo21"/>
        <w:spacing w:before="139" w:beforeAutospacing="0" w:line="360" w:lineRule="auto"/>
        <w:ind w:left="0"/>
        <w:rPr>
          <w:rFonts w:asciiTheme="minorHAnsi" w:eastAsiaTheme="majorEastAsia" w:hAnsiTheme="minorHAnsi" w:cstheme="minorHAnsi"/>
          <w:color w:val="2E74B5" w:themeColor="accent1" w:themeShade="BF"/>
          <w:sz w:val="28"/>
          <w:szCs w:val="28"/>
          <w:lang w:val="es-ES"/>
        </w:rPr>
      </w:pPr>
      <w:r w:rsidRPr="008B0EBE">
        <w:rPr>
          <w:rFonts w:asciiTheme="minorHAnsi" w:eastAsiaTheme="majorEastAsia" w:hAnsiTheme="minorHAnsi" w:cstheme="minorHAnsi"/>
          <w:color w:val="2E74B5" w:themeColor="accent1" w:themeShade="BF"/>
          <w:sz w:val="28"/>
          <w:szCs w:val="28"/>
          <w:lang w:val="es-ES"/>
        </w:rPr>
        <w:t>METODOLOGÍA</w:t>
      </w:r>
    </w:p>
    <w:p w14:paraId="59118C34" w14:textId="77777777" w:rsidR="00C20658" w:rsidRPr="008B0EBE" w:rsidRDefault="00C20658" w:rsidP="0005453D">
      <w:pPr>
        <w:pStyle w:val="Textoindependiente1"/>
        <w:ind w:right="194"/>
        <w:jc w:val="both"/>
        <w:rPr>
          <w:rFonts w:asciiTheme="minorHAnsi" w:eastAsia="Arial MT" w:hAnsiTheme="minorHAnsi" w:cstheme="minorHAnsi"/>
          <w:lang w:val="es-HN"/>
        </w:rPr>
      </w:pPr>
      <w:r w:rsidRPr="008B0EBE">
        <w:rPr>
          <w:rFonts w:asciiTheme="minorHAnsi" w:eastAsia="Arial MT" w:hAnsiTheme="minorHAnsi" w:cstheme="minorHAnsi"/>
          <w:lang w:val="es-HN"/>
        </w:rPr>
        <w:t>Esta investigación se presenta bajo un enfoque mixto, ya que se usaron como instrumentos la entrevista y la encuesta. La delimitación usada fue 80 ciudadanos misquitos residentes en San Pedro Sula y se desarrolló en un tiempo de tres meses. A través de las encuestas se presentaron los resultados en gráficas que revelan los resultados obtenidos.</w:t>
      </w:r>
    </w:p>
    <w:p w14:paraId="113C7D96" w14:textId="77777777" w:rsidR="00C20658" w:rsidRPr="00C20658" w:rsidRDefault="00C20658" w:rsidP="00C20658">
      <w:pPr>
        <w:pStyle w:val="Textoindependiente1"/>
        <w:spacing w:line="360" w:lineRule="auto"/>
        <w:rPr>
          <w:rFonts w:ascii="Calibri Light" w:eastAsia="Arial MT" w:hAnsi="Calibri Light" w:cs="Calibri Light"/>
          <w:sz w:val="24"/>
          <w:szCs w:val="24"/>
          <w:lang w:val="es-HN"/>
        </w:rPr>
      </w:pPr>
      <w:r w:rsidRPr="00C20658">
        <w:rPr>
          <w:rFonts w:ascii="Calibri Light" w:eastAsia="Arial MT" w:hAnsi="Calibri Light" w:cs="Calibri Light"/>
          <w:sz w:val="24"/>
          <w:szCs w:val="24"/>
          <w:lang w:val="es-HN"/>
        </w:rPr>
        <w:t xml:space="preserve"> </w:t>
      </w:r>
    </w:p>
    <w:p w14:paraId="58AA9D09" w14:textId="03A226FF" w:rsidR="00C20658" w:rsidRPr="008B0EBE" w:rsidRDefault="000C6A91" w:rsidP="008B0EBE">
      <w:pPr>
        <w:pStyle w:val="Ttulo21"/>
        <w:spacing w:before="139" w:beforeAutospacing="0" w:line="360" w:lineRule="auto"/>
        <w:ind w:left="0"/>
        <w:rPr>
          <w:rFonts w:asciiTheme="minorHAnsi" w:eastAsiaTheme="majorEastAsia" w:hAnsiTheme="minorHAnsi" w:cstheme="minorHAnsi"/>
          <w:color w:val="2E74B5" w:themeColor="accent1" w:themeShade="BF"/>
          <w:sz w:val="28"/>
          <w:szCs w:val="28"/>
          <w:lang w:val="es-ES"/>
        </w:rPr>
      </w:pPr>
      <w:r w:rsidRPr="008B0EBE">
        <w:rPr>
          <w:rFonts w:asciiTheme="minorHAnsi" w:eastAsiaTheme="majorEastAsia" w:hAnsiTheme="minorHAnsi" w:cstheme="minorHAnsi"/>
          <w:color w:val="2E74B5" w:themeColor="accent1" w:themeShade="BF"/>
          <w:sz w:val="28"/>
          <w:szCs w:val="28"/>
          <w:lang w:val="es-ES"/>
        </w:rPr>
        <w:t>RESULTADOS</w:t>
      </w:r>
    </w:p>
    <w:p w14:paraId="24574F4B" w14:textId="77777777" w:rsidR="00C20658" w:rsidRPr="008B0EBE" w:rsidRDefault="005178C7" w:rsidP="0005453D">
      <w:pPr>
        <w:pStyle w:val="Textoindependiente1"/>
        <w:ind w:right="197"/>
        <w:jc w:val="both"/>
        <w:rPr>
          <w:rFonts w:asciiTheme="minorHAnsi" w:eastAsia="Arial MT" w:hAnsiTheme="minorHAnsi" w:cstheme="minorHAnsi"/>
          <w:lang w:val="es-HN"/>
        </w:rPr>
      </w:pPr>
      <w:r w:rsidRPr="008B0EBE">
        <w:rPr>
          <w:rFonts w:asciiTheme="minorHAnsi" w:eastAsia="Arial MT" w:hAnsiTheme="minorHAnsi" w:cstheme="minorHAnsi"/>
          <w:lang w:val="es-HN"/>
        </w:rPr>
        <w:t xml:space="preserve">Según datos estadísticos de 2023, son 80,000 ciudadanos misquitos y, aunque no hay datos oficiales, se estima que unos 2,000 residen en San Pedro Sula. </w:t>
      </w:r>
      <w:r w:rsidR="006D4355" w:rsidRPr="008B0EBE">
        <w:rPr>
          <w:rFonts w:asciiTheme="minorHAnsi" w:eastAsia="Arial MT" w:hAnsiTheme="minorHAnsi" w:cstheme="minorHAnsi"/>
          <w:lang w:val="es-HN"/>
        </w:rPr>
        <w:t>Un 76% de la muestra seleccionada opinan que fue una buena decisión trasladarse desde su lugar de origen hasta la Capital Industrial de Honduras. De ellos, un 75% tienen empleo en San Pedro Sula y de esa cifra, el 80% labora como guardia de seguridad o mesero</w:t>
      </w:r>
      <w:r w:rsidR="00C20658" w:rsidRPr="008B0EBE">
        <w:rPr>
          <w:rFonts w:asciiTheme="minorHAnsi" w:eastAsia="Arial MT" w:hAnsiTheme="minorHAnsi" w:cstheme="minorHAnsi"/>
          <w:lang w:val="es-HN"/>
        </w:rPr>
        <w:t>.</w:t>
      </w:r>
      <w:r w:rsidR="006D4355" w:rsidRPr="008B0EBE">
        <w:rPr>
          <w:rFonts w:asciiTheme="minorHAnsi" w:eastAsia="Arial MT" w:hAnsiTheme="minorHAnsi" w:cstheme="minorHAnsi"/>
          <w:lang w:val="es-HN"/>
        </w:rPr>
        <w:t xml:space="preserve"> También, el 86% afirma que el salario es mejor en San Pedro Sula que lo que devengaban en la </w:t>
      </w:r>
      <w:proofErr w:type="spellStart"/>
      <w:r w:rsidR="006D4355" w:rsidRPr="008B0EBE">
        <w:rPr>
          <w:rFonts w:asciiTheme="minorHAnsi" w:eastAsia="Arial MT" w:hAnsiTheme="minorHAnsi" w:cstheme="minorHAnsi"/>
          <w:lang w:val="es-HN"/>
        </w:rPr>
        <w:t>Mosquitia</w:t>
      </w:r>
      <w:proofErr w:type="spellEnd"/>
      <w:r w:rsidR="006D4355" w:rsidRPr="008B0EBE">
        <w:rPr>
          <w:rFonts w:asciiTheme="minorHAnsi" w:eastAsia="Arial MT" w:hAnsiTheme="minorHAnsi" w:cstheme="minorHAnsi"/>
          <w:lang w:val="es-HN"/>
        </w:rPr>
        <w:t>. El 82% del éxodo misquito se debe a la carencia de oportunidades laborales en su zona. También se revela que el 92.5% de los misquitos en San Pedro Sula alquilan y solo 7.5% poseen casa propia.</w:t>
      </w:r>
    </w:p>
    <w:p w14:paraId="4489AEBD" w14:textId="77777777" w:rsidR="00C20658" w:rsidRPr="00C20658" w:rsidRDefault="00C20658" w:rsidP="00C20658">
      <w:pPr>
        <w:pStyle w:val="Textoindependiente1"/>
        <w:spacing w:line="360" w:lineRule="auto"/>
        <w:rPr>
          <w:rFonts w:ascii="Calibri Light" w:eastAsia="Arial MT" w:hAnsi="Calibri Light" w:cs="Calibri Light"/>
          <w:sz w:val="24"/>
          <w:szCs w:val="24"/>
          <w:lang w:val="es-HN"/>
        </w:rPr>
      </w:pPr>
      <w:r w:rsidRPr="00C20658">
        <w:rPr>
          <w:rFonts w:ascii="Calibri Light" w:eastAsia="Arial MT" w:hAnsi="Calibri Light" w:cs="Calibri Light"/>
          <w:sz w:val="24"/>
          <w:szCs w:val="24"/>
          <w:lang w:val="es-HN"/>
        </w:rPr>
        <w:t xml:space="preserve"> </w:t>
      </w:r>
    </w:p>
    <w:p w14:paraId="3069E1A8" w14:textId="77777777" w:rsidR="000C6A91" w:rsidRPr="008B0EBE" w:rsidRDefault="000C6A91" w:rsidP="000C6A91">
      <w:pPr>
        <w:spacing w:before="209" w:line="360" w:lineRule="auto"/>
        <w:rPr>
          <w:rFonts w:asciiTheme="minorHAnsi" w:eastAsia="Arial MT" w:hAnsiTheme="minorHAnsi" w:cstheme="minorHAnsi"/>
          <w:b/>
          <w:bCs/>
          <w:lang w:val="es-HN"/>
        </w:rPr>
      </w:pPr>
      <w:r w:rsidRPr="008B0EBE">
        <w:rPr>
          <w:rFonts w:asciiTheme="minorHAnsi" w:eastAsia="Arial MT" w:hAnsiTheme="minorHAnsi" w:cstheme="minorHAnsi"/>
          <w:b/>
          <w:bCs/>
          <w:lang w:val="es-HN"/>
        </w:rPr>
        <w:lastRenderedPageBreak/>
        <w:t xml:space="preserve">¿Qué decisión influyó en su decisión de trasladarse de la </w:t>
      </w:r>
      <w:proofErr w:type="spellStart"/>
      <w:r w:rsidRPr="008B0EBE">
        <w:rPr>
          <w:rFonts w:asciiTheme="minorHAnsi" w:eastAsia="Arial MT" w:hAnsiTheme="minorHAnsi" w:cstheme="minorHAnsi"/>
          <w:b/>
          <w:bCs/>
          <w:lang w:val="es-HN"/>
        </w:rPr>
        <w:t>Mosquitia</w:t>
      </w:r>
      <w:proofErr w:type="spellEnd"/>
      <w:r w:rsidRPr="008B0EBE">
        <w:rPr>
          <w:rFonts w:asciiTheme="minorHAnsi" w:eastAsia="Arial MT" w:hAnsiTheme="minorHAnsi" w:cstheme="minorHAnsi"/>
          <w:b/>
          <w:bCs/>
          <w:lang w:val="es-HN"/>
        </w:rPr>
        <w:t xml:space="preserve"> a San Pedro Sula?</w:t>
      </w:r>
    </w:p>
    <w:p w14:paraId="07DAC039" w14:textId="2D6E61B0" w:rsidR="000C6A91" w:rsidRPr="000C6A91" w:rsidRDefault="000C6A91" w:rsidP="00C20658">
      <w:pPr>
        <w:pStyle w:val="Textoindependiente1"/>
        <w:spacing w:line="360" w:lineRule="auto"/>
        <w:rPr>
          <w:rFonts w:asciiTheme="majorHAnsi" w:eastAsiaTheme="majorEastAsia" w:hAnsiTheme="majorHAnsi" w:cstheme="majorBidi"/>
          <w:b/>
          <w:bCs/>
          <w:color w:val="2E74B5" w:themeColor="accent1" w:themeShade="BF"/>
          <w:sz w:val="28"/>
          <w:szCs w:val="28"/>
          <w:lang w:val="es-HN"/>
        </w:rPr>
      </w:pPr>
      <w:r>
        <w:rPr>
          <w:noProof/>
        </w:rPr>
        <w:drawing>
          <wp:inline distT="0" distB="0" distL="0" distR="0" wp14:anchorId="7EA657C1" wp14:editId="08EB48CB">
            <wp:extent cx="2855595" cy="2584450"/>
            <wp:effectExtent l="0" t="0" r="1905" b="6350"/>
            <wp:docPr id="202001244" name="Picture 2" descr="A blue pie chart with a number of percent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1244" name="Picture 2" descr="A blue pie chart with a number of percentage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l="8018" t="11728" r="7677" b="8210"/>
                    <a:stretch>
                      <a:fillRect/>
                    </a:stretch>
                  </pic:blipFill>
                  <pic:spPr>
                    <a:xfrm>
                      <a:off x="0" y="0"/>
                      <a:ext cx="2855595" cy="2584450"/>
                    </a:xfrm>
                    <a:prstGeom prst="rect">
                      <a:avLst/>
                    </a:prstGeom>
                    <a:noFill/>
                    <a:ln>
                      <a:noFill/>
                    </a:ln>
                  </pic:spPr>
                </pic:pic>
              </a:graphicData>
            </a:graphic>
          </wp:inline>
        </w:drawing>
      </w:r>
    </w:p>
    <w:p w14:paraId="2C490D66" w14:textId="77777777" w:rsidR="000C6A91" w:rsidRPr="008B0EBE" w:rsidRDefault="000C6A91" w:rsidP="000C6A91">
      <w:pPr>
        <w:spacing w:before="209" w:line="360" w:lineRule="auto"/>
        <w:rPr>
          <w:rFonts w:asciiTheme="minorHAnsi" w:eastAsia="Arial MT" w:hAnsiTheme="minorHAnsi" w:cstheme="minorHAnsi"/>
          <w:b/>
          <w:bCs/>
          <w:lang w:val="es-HN"/>
        </w:rPr>
      </w:pPr>
      <w:r w:rsidRPr="008B0EBE">
        <w:rPr>
          <w:rFonts w:asciiTheme="minorHAnsi" w:eastAsia="Arial MT" w:hAnsiTheme="minorHAnsi" w:cstheme="minorHAnsi"/>
          <w:b/>
          <w:bCs/>
          <w:lang w:val="es-HN"/>
        </w:rPr>
        <w:t xml:space="preserve">¿Tiene mejor salario en San Pedro Sula que cuando estaba en la </w:t>
      </w:r>
      <w:proofErr w:type="spellStart"/>
      <w:r w:rsidRPr="008B0EBE">
        <w:rPr>
          <w:rFonts w:asciiTheme="minorHAnsi" w:eastAsia="Arial MT" w:hAnsiTheme="minorHAnsi" w:cstheme="minorHAnsi"/>
          <w:b/>
          <w:bCs/>
          <w:lang w:val="es-HN"/>
        </w:rPr>
        <w:t>Mosquitia</w:t>
      </w:r>
      <w:proofErr w:type="spellEnd"/>
      <w:r w:rsidRPr="008B0EBE">
        <w:rPr>
          <w:rFonts w:asciiTheme="minorHAnsi" w:eastAsia="Arial MT" w:hAnsiTheme="minorHAnsi" w:cstheme="minorHAnsi"/>
          <w:b/>
          <w:bCs/>
          <w:lang w:val="es-HN"/>
        </w:rPr>
        <w:t>?</w:t>
      </w:r>
    </w:p>
    <w:p w14:paraId="029A2D19" w14:textId="77777777" w:rsidR="000C6A91" w:rsidRPr="000C6A91" w:rsidRDefault="000C6A91" w:rsidP="00C20658">
      <w:pPr>
        <w:pStyle w:val="Textoindependiente1"/>
        <w:spacing w:line="360" w:lineRule="auto"/>
        <w:rPr>
          <w:rFonts w:asciiTheme="majorHAnsi" w:eastAsiaTheme="majorEastAsia" w:hAnsiTheme="majorHAnsi" w:cstheme="majorBidi"/>
          <w:b/>
          <w:bCs/>
          <w:color w:val="2E74B5" w:themeColor="accent1" w:themeShade="BF"/>
          <w:sz w:val="28"/>
          <w:szCs w:val="28"/>
          <w:lang w:val="es-HN"/>
        </w:rPr>
      </w:pPr>
    </w:p>
    <w:p w14:paraId="4FEC9A0A" w14:textId="5D44CF19" w:rsidR="000C6A91" w:rsidRDefault="000C6A91" w:rsidP="00C20658">
      <w:pPr>
        <w:pStyle w:val="Textoindependiente1"/>
        <w:spacing w:line="360" w:lineRule="auto"/>
        <w:rPr>
          <w:rFonts w:asciiTheme="majorHAnsi" w:eastAsiaTheme="majorEastAsia" w:hAnsiTheme="majorHAnsi" w:cstheme="majorBidi"/>
          <w:b/>
          <w:bCs/>
          <w:color w:val="2E74B5" w:themeColor="accent1" w:themeShade="BF"/>
          <w:sz w:val="28"/>
          <w:szCs w:val="28"/>
          <w:lang w:val="es-ES"/>
        </w:rPr>
      </w:pPr>
      <w:r>
        <w:rPr>
          <w:noProof/>
        </w:rPr>
        <w:drawing>
          <wp:inline distT="0" distB="0" distL="0" distR="0" wp14:anchorId="33C9D6C9" wp14:editId="049CA825">
            <wp:extent cx="2522855" cy="2305050"/>
            <wp:effectExtent l="0" t="0" r="0" b="0"/>
            <wp:docPr id="594429559" name="Picture 7" descr="A blue pie chart with a few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429559" name="Picture 7" descr="A blue pie chart with a few blue square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l="12086" t="14698" r="8828" b="11812"/>
                    <a:stretch>
                      <a:fillRect/>
                    </a:stretch>
                  </pic:blipFill>
                  <pic:spPr>
                    <a:xfrm>
                      <a:off x="0" y="0"/>
                      <a:ext cx="2522855" cy="2305050"/>
                    </a:xfrm>
                    <a:prstGeom prst="rect">
                      <a:avLst/>
                    </a:prstGeom>
                    <a:noFill/>
                    <a:ln>
                      <a:noFill/>
                    </a:ln>
                  </pic:spPr>
                </pic:pic>
              </a:graphicData>
            </a:graphic>
          </wp:inline>
        </w:drawing>
      </w:r>
    </w:p>
    <w:p w14:paraId="6718DA92" w14:textId="77777777" w:rsidR="000C6A91" w:rsidRDefault="000C6A91" w:rsidP="00C20658">
      <w:pPr>
        <w:pStyle w:val="Textoindependiente1"/>
        <w:spacing w:line="360" w:lineRule="auto"/>
        <w:rPr>
          <w:rFonts w:asciiTheme="majorHAnsi" w:eastAsiaTheme="majorEastAsia" w:hAnsiTheme="majorHAnsi" w:cstheme="majorBidi"/>
          <w:b/>
          <w:bCs/>
          <w:color w:val="2E74B5" w:themeColor="accent1" w:themeShade="BF"/>
          <w:sz w:val="28"/>
          <w:szCs w:val="28"/>
          <w:lang w:val="es-ES"/>
        </w:rPr>
      </w:pPr>
    </w:p>
    <w:p w14:paraId="5CBA29AA" w14:textId="77777777" w:rsidR="000C6A91" w:rsidRDefault="000C6A91" w:rsidP="000C6A91">
      <w:pPr>
        <w:spacing w:before="209" w:line="360" w:lineRule="auto"/>
        <w:rPr>
          <w:rFonts w:ascii="Times New Roman" w:eastAsia="Arial MT" w:hAnsi="Times New Roman"/>
          <w:b/>
          <w:bCs/>
          <w:sz w:val="24"/>
          <w:szCs w:val="24"/>
          <w:lang w:val="es-HN"/>
        </w:rPr>
      </w:pPr>
    </w:p>
    <w:p w14:paraId="7D2D3E9F" w14:textId="77777777" w:rsidR="000C6A91" w:rsidRDefault="000C6A91" w:rsidP="000C6A91">
      <w:pPr>
        <w:spacing w:before="209" w:line="360" w:lineRule="auto"/>
        <w:rPr>
          <w:rFonts w:ascii="Times New Roman" w:eastAsia="Arial MT" w:hAnsi="Times New Roman"/>
          <w:b/>
          <w:bCs/>
          <w:sz w:val="24"/>
          <w:szCs w:val="24"/>
          <w:lang w:val="es-HN"/>
        </w:rPr>
      </w:pPr>
    </w:p>
    <w:p w14:paraId="60D6E2FA" w14:textId="77777777" w:rsidR="000C6A91" w:rsidRDefault="000C6A91" w:rsidP="000C6A91">
      <w:pPr>
        <w:spacing w:before="209" w:line="360" w:lineRule="auto"/>
        <w:rPr>
          <w:rFonts w:ascii="Times New Roman" w:eastAsia="Arial MT" w:hAnsi="Times New Roman"/>
          <w:b/>
          <w:bCs/>
          <w:sz w:val="24"/>
          <w:szCs w:val="24"/>
          <w:lang w:val="es-HN"/>
        </w:rPr>
      </w:pPr>
    </w:p>
    <w:p w14:paraId="3F858B13" w14:textId="77777777" w:rsidR="000C6A91" w:rsidRDefault="000C6A91" w:rsidP="000C6A91">
      <w:pPr>
        <w:spacing w:before="209" w:line="360" w:lineRule="auto"/>
        <w:rPr>
          <w:rFonts w:ascii="Times New Roman" w:eastAsia="Arial MT" w:hAnsi="Times New Roman"/>
          <w:b/>
          <w:bCs/>
          <w:sz w:val="24"/>
          <w:szCs w:val="24"/>
          <w:lang w:val="es-HN"/>
        </w:rPr>
      </w:pPr>
    </w:p>
    <w:p w14:paraId="0942F3EE" w14:textId="2ECE6857" w:rsidR="000C6A91" w:rsidRPr="008B0EBE" w:rsidRDefault="000C6A91" w:rsidP="000C6A91">
      <w:pPr>
        <w:spacing w:before="209" w:line="360" w:lineRule="auto"/>
        <w:rPr>
          <w:rFonts w:asciiTheme="minorHAnsi" w:eastAsia="Arial MT" w:hAnsiTheme="minorHAnsi" w:cstheme="minorHAnsi"/>
          <w:b/>
          <w:bCs/>
          <w:lang w:val="es-HN"/>
        </w:rPr>
      </w:pPr>
      <w:r w:rsidRPr="008B0EBE">
        <w:rPr>
          <w:rFonts w:asciiTheme="minorHAnsi" w:eastAsia="Arial MT" w:hAnsiTheme="minorHAnsi" w:cstheme="minorHAnsi"/>
          <w:b/>
          <w:bCs/>
          <w:lang w:val="es-HN"/>
        </w:rPr>
        <w:lastRenderedPageBreak/>
        <w:t xml:space="preserve">¿Considera regresarse a la </w:t>
      </w:r>
      <w:proofErr w:type="spellStart"/>
      <w:r w:rsidRPr="008B0EBE">
        <w:rPr>
          <w:rFonts w:asciiTheme="minorHAnsi" w:eastAsia="Arial MT" w:hAnsiTheme="minorHAnsi" w:cstheme="minorHAnsi"/>
          <w:b/>
          <w:bCs/>
          <w:lang w:val="es-HN"/>
        </w:rPr>
        <w:t>Mosquitia</w:t>
      </w:r>
      <w:proofErr w:type="spellEnd"/>
      <w:r w:rsidRPr="008B0EBE">
        <w:rPr>
          <w:rFonts w:asciiTheme="minorHAnsi" w:eastAsia="Arial MT" w:hAnsiTheme="minorHAnsi" w:cstheme="minorHAnsi"/>
          <w:b/>
          <w:bCs/>
          <w:lang w:val="es-HN"/>
        </w:rPr>
        <w:t>?</w:t>
      </w:r>
    </w:p>
    <w:p w14:paraId="15A882AE" w14:textId="1610A2CF" w:rsidR="000C6A91" w:rsidRPr="000C6A91" w:rsidRDefault="000C6A91" w:rsidP="00C20658">
      <w:pPr>
        <w:pStyle w:val="Textoindependiente1"/>
        <w:spacing w:line="360" w:lineRule="auto"/>
        <w:rPr>
          <w:rFonts w:asciiTheme="majorHAnsi" w:eastAsiaTheme="majorEastAsia" w:hAnsiTheme="majorHAnsi" w:cstheme="majorBidi"/>
          <w:b/>
          <w:bCs/>
          <w:color w:val="2E74B5" w:themeColor="accent1" w:themeShade="BF"/>
          <w:sz w:val="28"/>
          <w:szCs w:val="28"/>
          <w:lang w:val="es-HN"/>
        </w:rPr>
      </w:pPr>
      <w:r>
        <w:rPr>
          <w:noProof/>
        </w:rPr>
        <w:drawing>
          <wp:inline distT="0" distB="0" distL="0" distR="0" wp14:anchorId="17429BBE" wp14:editId="715D98DE">
            <wp:extent cx="2985135" cy="2870835"/>
            <wp:effectExtent l="0" t="0" r="5715" b="5715"/>
            <wp:docPr id="1820958835" name="Picture 4" descr="A blue pie chart with a number of percent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58835" name="Picture 4" descr="A blue pie chart with a number of percentag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10696" t="11484" r="7318" b="8519"/>
                    <a:stretch>
                      <a:fillRect/>
                    </a:stretch>
                  </pic:blipFill>
                  <pic:spPr>
                    <a:xfrm>
                      <a:off x="0" y="0"/>
                      <a:ext cx="2985135" cy="2870835"/>
                    </a:xfrm>
                    <a:prstGeom prst="rect">
                      <a:avLst/>
                    </a:prstGeom>
                    <a:noFill/>
                    <a:ln>
                      <a:noFill/>
                    </a:ln>
                  </pic:spPr>
                </pic:pic>
              </a:graphicData>
            </a:graphic>
          </wp:inline>
        </w:drawing>
      </w:r>
    </w:p>
    <w:p w14:paraId="6A99A874" w14:textId="77777777" w:rsidR="000C6A91" w:rsidRDefault="000C6A91" w:rsidP="000C6A91">
      <w:pPr>
        <w:rPr>
          <w:rFonts w:ascii="Times New Roman" w:eastAsia="Arial" w:hAnsi="Times New Roman"/>
          <w:b/>
          <w:bCs/>
          <w:lang w:val="es-HN"/>
        </w:rPr>
      </w:pPr>
      <w:r w:rsidRPr="0005453D">
        <w:rPr>
          <w:rFonts w:ascii="Times New Roman" w:eastAsia="Arial" w:hAnsi="Times New Roman"/>
          <w:b/>
          <w:bCs/>
          <w:lang w:val="es-HN"/>
        </w:rPr>
        <w:t>¿</w:t>
      </w:r>
      <w:r w:rsidRPr="008B0EBE">
        <w:rPr>
          <w:rFonts w:asciiTheme="minorHAnsi" w:eastAsia="Arial" w:hAnsiTheme="minorHAnsi" w:cstheme="minorHAnsi"/>
          <w:b/>
          <w:bCs/>
          <w:lang w:val="es-HN"/>
        </w:rPr>
        <w:t>Tuvo problemas con el español cuando se trasladó a vivir a San Pedro Sula</w:t>
      </w:r>
      <w:r w:rsidRPr="0005453D">
        <w:rPr>
          <w:rFonts w:ascii="Times New Roman" w:eastAsia="Arial" w:hAnsi="Times New Roman"/>
          <w:b/>
          <w:bCs/>
          <w:lang w:val="es-HN"/>
        </w:rPr>
        <w:t>?</w:t>
      </w:r>
    </w:p>
    <w:p w14:paraId="23E05750" w14:textId="77777777" w:rsidR="000C6A91" w:rsidRPr="0005453D" w:rsidRDefault="000C6A91" w:rsidP="000C6A91">
      <w:pPr>
        <w:rPr>
          <w:rFonts w:ascii="Times New Roman" w:eastAsia="Arial" w:hAnsi="Times New Roman"/>
          <w:b/>
          <w:bCs/>
          <w:lang w:val="es-HN"/>
        </w:rPr>
      </w:pPr>
      <w:r w:rsidRPr="0005453D">
        <w:rPr>
          <w:rFonts w:ascii="Times New Roman" w:eastAsia="Arial MT" w:hAnsi="Times New Roman"/>
          <w:b/>
          <w:bCs/>
          <w:sz w:val="24"/>
          <w:szCs w:val="24"/>
          <w:lang w:val="es-HN"/>
        </w:rPr>
        <w:t xml:space="preserve"> </w:t>
      </w:r>
    </w:p>
    <w:p w14:paraId="241F4CA0" w14:textId="77777777" w:rsidR="000C6A91" w:rsidRPr="000C6A91" w:rsidRDefault="000C6A91" w:rsidP="00C20658">
      <w:pPr>
        <w:pStyle w:val="Textoindependiente1"/>
        <w:spacing w:line="360" w:lineRule="auto"/>
        <w:rPr>
          <w:rFonts w:asciiTheme="majorHAnsi" w:eastAsiaTheme="majorEastAsia" w:hAnsiTheme="majorHAnsi" w:cstheme="majorBidi"/>
          <w:b/>
          <w:bCs/>
          <w:color w:val="2E74B5" w:themeColor="accent1" w:themeShade="BF"/>
          <w:sz w:val="28"/>
          <w:szCs w:val="28"/>
          <w:lang w:val="es-HN"/>
        </w:rPr>
      </w:pPr>
    </w:p>
    <w:p w14:paraId="165A5908" w14:textId="1AD71021" w:rsidR="000C6A91" w:rsidRDefault="000C6A91" w:rsidP="00C20658">
      <w:pPr>
        <w:pStyle w:val="Textoindependiente1"/>
        <w:spacing w:line="360" w:lineRule="auto"/>
        <w:rPr>
          <w:rFonts w:asciiTheme="majorHAnsi" w:eastAsiaTheme="majorEastAsia" w:hAnsiTheme="majorHAnsi" w:cstheme="majorBidi"/>
          <w:b/>
          <w:bCs/>
          <w:color w:val="2E74B5" w:themeColor="accent1" w:themeShade="BF"/>
          <w:sz w:val="28"/>
          <w:szCs w:val="28"/>
          <w:lang w:val="es-ES"/>
        </w:rPr>
      </w:pPr>
      <w:r>
        <w:rPr>
          <w:noProof/>
        </w:rPr>
        <w:drawing>
          <wp:inline distT="0" distB="0" distL="0" distR="0" wp14:anchorId="479293CF" wp14:editId="5D3D5386">
            <wp:extent cx="3652520" cy="2762250"/>
            <wp:effectExtent l="0" t="0" r="5080" b="0"/>
            <wp:docPr id="2091612501" name="Picture 1" descr="A blue circle with a number of percent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12501" name="Picture 1" descr="A blue circle with a number of percentage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t="14241" b="9283"/>
                    <a:stretch>
                      <a:fillRect/>
                    </a:stretch>
                  </pic:blipFill>
                  <pic:spPr>
                    <a:xfrm>
                      <a:off x="0" y="0"/>
                      <a:ext cx="3652520" cy="2762250"/>
                    </a:xfrm>
                    <a:prstGeom prst="rect">
                      <a:avLst/>
                    </a:prstGeom>
                    <a:noFill/>
                    <a:ln>
                      <a:noFill/>
                    </a:ln>
                  </pic:spPr>
                </pic:pic>
              </a:graphicData>
            </a:graphic>
          </wp:inline>
        </w:drawing>
      </w:r>
    </w:p>
    <w:p w14:paraId="7296A29D" w14:textId="77777777" w:rsidR="000C6A91" w:rsidRDefault="000C6A91" w:rsidP="00C20658">
      <w:pPr>
        <w:pStyle w:val="Textoindependiente1"/>
        <w:spacing w:line="360" w:lineRule="auto"/>
        <w:rPr>
          <w:rFonts w:asciiTheme="majorHAnsi" w:eastAsiaTheme="majorEastAsia" w:hAnsiTheme="majorHAnsi" w:cstheme="majorBidi"/>
          <w:b/>
          <w:bCs/>
          <w:color w:val="2E74B5" w:themeColor="accent1" w:themeShade="BF"/>
          <w:sz w:val="28"/>
          <w:szCs w:val="28"/>
          <w:lang w:val="es-ES"/>
        </w:rPr>
      </w:pPr>
    </w:p>
    <w:p w14:paraId="71014EDE" w14:textId="289F6222" w:rsidR="00C20658" w:rsidRPr="008B0EBE" w:rsidRDefault="000C6A91" w:rsidP="008B0EBE">
      <w:pPr>
        <w:pStyle w:val="Ttulo21"/>
        <w:spacing w:before="139" w:beforeAutospacing="0" w:line="360" w:lineRule="auto"/>
        <w:ind w:left="0"/>
        <w:rPr>
          <w:rFonts w:asciiTheme="minorHAnsi" w:eastAsiaTheme="majorEastAsia" w:hAnsiTheme="minorHAnsi" w:cstheme="minorHAnsi"/>
          <w:color w:val="2E74B5" w:themeColor="accent1" w:themeShade="BF"/>
          <w:sz w:val="28"/>
          <w:szCs w:val="28"/>
          <w:lang w:val="es-ES"/>
        </w:rPr>
      </w:pPr>
      <w:r w:rsidRPr="008B0EBE">
        <w:rPr>
          <w:rFonts w:asciiTheme="minorHAnsi" w:eastAsiaTheme="majorEastAsia" w:hAnsiTheme="minorHAnsi" w:cstheme="minorHAnsi"/>
          <w:color w:val="2E74B5" w:themeColor="accent1" w:themeShade="BF"/>
          <w:sz w:val="28"/>
          <w:szCs w:val="28"/>
          <w:lang w:val="es-ES"/>
        </w:rPr>
        <w:t>CONCLUSIÓN</w:t>
      </w:r>
    </w:p>
    <w:p w14:paraId="5A3B7C0E" w14:textId="77777777" w:rsidR="00D729FA" w:rsidRPr="008B0EBE" w:rsidRDefault="00D729FA" w:rsidP="00D729FA">
      <w:pPr>
        <w:widowControl/>
        <w:autoSpaceDE/>
        <w:autoSpaceDN/>
        <w:spacing w:line="273" w:lineRule="auto"/>
        <w:jc w:val="both"/>
        <w:rPr>
          <w:rFonts w:asciiTheme="minorHAnsi" w:hAnsiTheme="minorHAnsi" w:cstheme="minorHAnsi"/>
          <w:lang w:val="es-HN"/>
        </w:rPr>
      </w:pPr>
      <w:r w:rsidRPr="008B0EBE">
        <w:rPr>
          <w:rFonts w:asciiTheme="minorHAnsi" w:eastAsia="Arial" w:hAnsiTheme="minorHAnsi" w:cstheme="minorHAnsi"/>
          <w:lang w:val="es-HN"/>
        </w:rPr>
        <w:t xml:space="preserve">La migración de los misquitos desde La </w:t>
      </w:r>
      <w:proofErr w:type="spellStart"/>
      <w:r w:rsidRPr="008B0EBE">
        <w:rPr>
          <w:rFonts w:asciiTheme="minorHAnsi" w:eastAsia="Arial" w:hAnsiTheme="minorHAnsi" w:cstheme="minorHAnsi"/>
          <w:lang w:val="es-HN"/>
        </w:rPr>
        <w:t>Mosquitia</w:t>
      </w:r>
      <w:proofErr w:type="spellEnd"/>
      <w:r w:rsidRPr="008B0EBE">
        <w:rPr>
          <w:rFonts w:asciiTheme="minorHAnsi" w:eastAsia="Arial" w:hAnsiTheme="minorHAnsi" w:cstheme="minorHAnsi"/>
          <w:lang w:val="es-HN"/>
        </w:rPr>
        <w:t xml:space="preserve"> hacia San Pedro Sula está impulsada por carencias significativas en su lugar de origen, como la falta de oportunidades laborales, servicios básicos insuficientes y problemas de seguridad alimentaria. La investigación destaca que, a pesar de las </w:t>
      </w:r>
      <w:r w:rsidRPr="008B0EBE">
        <w:rPr>
          <w:rFonts w:asciiTheme="minorHAnsi" w:eastAsia="Arial" w:hAnsiTheme="minorHAnsi" w:cstheme="minorHAnsi"/>
          <w:lang w:val="es-HN"/>
        </w:rPr>
        <w:lastRenderedPageBreak/>
        <w:t xml:space="preserve">dificultades en San Pedro Sula, como el alto costo de vida y la discriminación, la migración representa una oportunidad para los misquitos de superar las limitaciones del entorno rural. </w:t>
      </w:r>
      <w:r w:rsidRPr="008B0EBE">
        <w:rPr>
          <w:rFonts w:asciiTheme="minorHAnsi" w:hAnsiTheme="minorHAnsi" w:cstheme="minorHAnsi"/>
          <w:lang w:val="es-HN"/>
        </w:rPr>
        <w:t xml:space="preserve">Promover talleres y capacitaciones que preparen a los misquitos en la mejora de sus habilidades y destrezas para establecerlos en los empleos que mejor se adecuen a sus capacidades. El Gobierno debe promover el desarrollo y mejora del sistema laboral, el sistema público y educativo en las comunidades misquitas de Gracias a Dios, para evitar los desplazamientos de sus zonas de origen. </w:t>
      </w:r>
    </w:p>
    <w:p w14:paraId="37130405" w14:textId="77777777" w:rsidR="00C20658" w:rsidRPr="00C20658" w:rsidRDefault="00C20658" w:rsidP="00D729FA">
      <w:pPr>
        <w:pStyle w:val="Textoindependiente1"/>
        <w:ind w:left="273" w:right="273"/>
        <w:jc w:val="both"/>
        <w:rPr>
          <w:rFonts w:ascii="Times New Roman" w:eastAsia="Arial MT" w:hAnsi="Times New Roman"/>
          <w:sz w:val="24"/>
          <w:szCs w:val="24"/>
          <w:lang w:val="es-HN"/>
        </w:rPr>
      </w:pPr>
      <w:r w:rsidRPr="00C20658">
        <w:rPr>
          <w:rFonts w:ascii="Times New Roman" w:eastAsia="Arial MT" w:hAnsi="Times New Roman" w:cs="Arial MT"/>
          <w:sz w:val="24"/>
          <w:szCs w:val="24"/>
          <w:lang w:val="es-HN"/>
        </w:rPr>
        <w:t>.</w:t>
      </w:r>
    </w:p>
    <w:p w14:paraId="6F8E12F9" w14:textId="77777777" w:rsidR="00C20658" w:rsidRPr="00C20658" w:rsidRDefault="00C20658" w:rsidP="00C20658">
      <w:pPr>
        <w:pStyle w:val="Textoindependiente1"/>
        <w:spacing w:line="360" w:lineRule="auto"/>
        <w:ind w:left="273" w:right="273"/>
        <w:jc w:val="both"/>
        <w:rPr>
          <w:rFonts w:ascii="Calibri Light" w:eastAsia="Arial MT" w:hAnsi="Calibri Light" w:cs="Calibri Light"/>
          <w:sz w:val="24"/>
          <w:szCs w:val="24"/>
          <w:lang w:val="es-HN"/>
        </w:rPr>
      </w:pPr>
      <w:r w:rsidRPr="00C20658">
        <w:rPr>
          <w:rFonts w:ascii="Calibri Light" w:eastAsia="Arial MT" w:hAnsi="Calibri Light" w:cs="Calibri Light"/>
          <w:sz w:val="24"/>
          <w:szCs w:val="24"/>
          <w:lang w:val="es-HN"/>
        </w:rPr>
        <w:t xml:space="preserve"> </w:t>
      </w:r>
    </w:p>
    <w:p w14:paraId="387ACE86" w14:textId="18AF5E6B" w:rsidR="00C20658" w:rsidRPr="008B0EBE" w:rsidRDefault="000C6A91" w:rsidP="008B0EBE">
      <w:pPr>
        <w:pStyle w:val="Ttulo21"/>
        <w:spacing w:before="139" w:beforeAutospacing="0" w:line="360" w:lineRule="auto"/>
        <w:ind w:left="0"/>
        <w:rPr>
          <w:rFonts w:asciiTheme="minorHAnsi" w:eastAsiaTheme="majorEastAsia" w:hAnsiTheme="minorHAnsi" w:cstheme="minorHAnsi"/>
          <w:color w:val="2E74B5" w:themeColor="accent1" w:themeShade="BF"/>
          <w:sz w:val="28"/>
          <w:szCs w:val="28"/>
          <w:lang w:val="es-ES"/>
        </w:rPr>
      </w:pPr>
      <w:r w:rsidRPr="008B0EBE">
        <w:rPr>
          <w:rFonts w:asciiTheme="minorHAnsi" w:eastAsiaTheme="majorEastAsia" w:hAnsiTheme="minorHAnsi" w:cstheme="minorHAnsi"/>
          <w:color w:val="2E74B5" w:themeColor="accent1" w:themeShade="BF"/>
          <w:sz w:val="28"/>
          <w:szCs w:val="28"/>
          <w:lang w:val="es-ES"/>
        </w:rPr>
        <w:t>REFERENCIAS</w:t>
      </w:r>
    </w:p>
    <w:p w14:paraId="5A51AC17" w14:textId="77777777" w:rsidR="00D729FA" w:rsidRPr="008B0EBE" w:rsidRDefault="00D729FA" w:rsidP="00D729FA">
      <w:pPr>
        <w:widowControl/>
        <w:autoSpaceDE/>
        <w:autoSpaceDN/>
        <w:spacing w:line="360" w:lineRule="auto"/>
        <w:jc w:val="both"/>
        <w:rPr>
          <w:rFonts w:asciiTheme="minorHAnsi" w:hAnsiTheme="minorHAnsi" w:cstheme="minorHAnsi"/>
          <w:lang w:val="es-HN"/>
        </w:rPr>
      </w:pPr>
      <w:proofErr w:type="spellStart"/>
      <w:r w:rsidRPr="008B0EBE">
        <w:rPr>
          <w:rFonts w:asciiTheme="minorHAnsi" w:hAnsiTheme="minorHAnsi" w:cstheme="minorHAnsi"/>
          <w:i/>
          <w:color w:val="05103E"/>
          <w:lang w:val="es-HN"/>
        </w:rPr>
        <w:t>Infounitnca</w:t>
      </w:r>
      <w:proofErr w:type="spellEnd"/>
      <w:r w:rsidRPr="008B0EBE">
        <w:rPr>
          <w:rFonts w:asciiTheme="minorHAnsi" w:hAnsiTheme="minorHAnsi" w:cstheme="minorHAnsi"/>
          <w:color w:val="05103E"/>
          <w:highlight w:val="white"/>
          <w:lang w:val="es-HN"/>
        </w:rPr>
        <w:t xml:space="preserve">. (2022). Recuperado 20 de julio de 2024, de </w:t>
      </w:r>
      <w:hyperlink r:id="rId10" w:history="1">
        <w:r w:rsidRPr="008B0EBE">
          <w:rPr>
            <w:rStyle w:val="Hipervnculo"/>
            <w:rFonts w:asciiTheme="minorHAnsi" w:hAnsiTheme="minorHAnsi" w:cstheme="minorHAnsi"/>
            <w:color w:val="1155CC"/>
            <w:lang w:val="es-HN"/>
          </w:rPr>
          <w:t>https://infounitnca.iom.int/wpcontent/uploads/2022/05/analisis_contexto_miskitoUE_OIM.pdf</w:t>
        </w:r>
      </w:hyperlink>
    </w:p>
    <w:p w14:paraId="0A43DE27" w14:textId="77777777" w:rsidR="00D729FA" w:rsidRPr="008B0EBE" w:rsidRDefault="00D729FA" w:rsidP="00D729FA">
      <w:pPr>
        <w:widowControl/>
        <w:autoSpaceDE/>
        <w:autoSpaceDN/>
        <w:spacing w:line="360" w:lineRule="auto"/>
        <w:jc w:val="both"/>
        <w:rPr>
          <w:rFonts w:asciiTheme="minorHAnsi" w:hAnsiTheme="minorHAnsi" w:cstheme="minorHAnsi"/>
          <w:lang w:val="es-HN"/>
        </w:rPr>
      </w:pPr>
    </w:p>
    <w:p w14:paraId="68AE31F1" w14:textId="77777777" w:rsidR="00D729FA" w:rsidRPr="008B0EBE" w:rsidRDefault="00D729FA" w:rsidP="00D729FA">
      <w:pPr>
        <w:widowControl/>
        <w:autoSpaceDE/>
        <w:autoSpaceDN/>
        <w:spacing w:line="360" w:lineRule="auto"/>
        <w:jc w:val="both"/>
        <w:rPr>
          <w:rFonts w:asciiTheme="minorHAnsi" w:hAnsiTheme="minorHAnsi" w:cstheme="minorHAnsi"/>
          <w:color w:val="05103E"/>
          <w:lang w:val="es-HN"/>
        </w:rPr>
      </w:pPr>
      <w:r w:rsidRPr="008B0EBE">
        <w:rPr>
          <w:rFonts w:asciiTheme="minorHAnsi" w:hAnsiTheme="minorHAnsi" w:cstheme="minorHAnsi"/>
          <w:i/>
          <w:color w:val="05103E"/>
          <w:lang w:val="es-HN"/>
        </w:rPr>
        <w:t>IUCN</w:t>
      </w:r>
      <w:r w:rsidRPr="008B0EBE">
        <w:rPr>
          <w:rFonts w:asciiTheme="minorHAnsi" w:hAnsiTheme="minorHAnsi" w:cstheme="minorHAnsi"/>
          <w:color w:val="05103E"/>
          <w:lang w:val="es-HN"/>
        </w:rPr>
        <w:t xml:space="preserve">. (2006). Recuperado 20 de julio de 2024, de </w:t>
      </w:r>
      <w:hyperlink r:id="rId11" w:history="1">
        <w:r w:rsidRPr="008B0EBE">
          <w:rPr>
            <w:rStyle w:val="Hipervnculo"/>
            <w:rFonts w:asciiTheme="minorHAnsi" w:hAnsiTheme="minorHAnsi" w:cstheme="minorHAnsi"/>
            <w:color w:val="1155CC"/>
            <w:lang w:val="es-HN"/>
          </w:rPr>
          <w:t>https://www.iucn.org/es/news/mexico-america-central-y-el-caribe/202006/la-moskitia-hondurena-biodiversa-costera-y-entre-espejos-de-agua</w:t>
        </w:r>
      </w:hyperlink>
    </w:p>
    <w:p w14:paraId="7DBED818" w14:textId="77777777" w:rsidR="00D729FA" w:rsidRPr="008B0EBE" w:rsidRDefault="00D729FA" w:rsidP="00D729FA">
      <w:pPr>
        <w:spacing w:line="360" w:lineRule="auto"/>
        <w:jc w:val="both"/>
        <w:rPr>
          <w:rFonts w:asciiTheme="minorHAnsi" w:hAnsiTheme="minorHAnsi" w:cstheme="minorHAnsi"/>
          <w:color w:val="05103E"/>
          <w:lang w:val="es-HN"/>
        </w:rPr>
      </w:pPr>
      <w:r w:rsidRPr="008B0EBE">
        <w:rPr>
          <w:rFonts w:asciiTheme="minorHAnsi" w:hAnsiTheme="minorHAnsi" w:cstheme="minorHAnsi"/>
          <w:color w:val="05103E"/>
          <w:lang w:val="es-HN"/>
        </w:rPr>
        <w:t xml:space="preserve"> </w:t>
      </w:r>
    </w:p>
    <w:p w14:paraId="1D74FFFD" w14:textId="77777777" w:rsidR="00D729FA" w:rsidRPr="008B0EBE" w:rsidRDefault="00D729FA" w:rsidP="00D729FA">
      <w:pPr>
        <w:widowControl/>
        <w:autoSpaceDE/>
        <w:autoSpaceDN/>
        <w:spacing w:line="360" w:lineRule="auto"/>
        <w:jc w:val="both"/>
        <w:rPr>
          <w:rFonts w:asciiTheme="minorHAnsi" w:hAnsiTheme="minorHAnsi" w:cstheme="minorHAnsi"/>
          <w:lang w:val="es-HN"/>
        </w:rPr>
      </w:pPr>
      <w:r w:rsidRPr="008B0EBE">
        <w:rPr>
          <w:rFonts w:asciiTheme="minorHAnsi" w:hAnsiTheme="minorHAnsi" w:cstheme="minorHAnsi"/>
          <w:i/>
          <w:color w:val="05103E"/>
          <w:lang w:val="es-HN"/>
        </w:rPr>
        <w:t xml:space="preserve">Criterio </w:t>
      </w:r>
      <w:proofErr w:type="spellStart"/>
      <w:r w:rsidRPr="008B0EBE">
        <w:rPr>
          <w:rFonts w:asciiTheme="minorHAnsi" w:hAnsiTheme="minorHAnsi" w:cstheme="minorHAnsi"/>
          <w:i/>
          <w:color w:val="05103E"/>
          <w:lang w:val="es-HN"/>
        </w:rPr>
        <w:t>Hn</w:t>
      </w:r>
      <w:proofErr w:type="spellEnd"/>
      <w:r w:rsidRPr="008B0EBE">
        <w:rPr>
          <w:rFonts w:asciiTheme="minorHAnsi" w:hAnsiTheme="minorHAnsi" w:cstheme="minorHAnsi"/>
          <w:color w:val="05103E"/>
          <w:lang w:val="es-HN"/>
        </w:rPr>
        <w:t xml:space="preserve">. (2020). Recuperado 20 de julio de 2024, de </w:t>
      </w:r>
      <w:hyperlink r:id="rId12" w:history="1">
        <w:r w:rsidRPr="008B0EBE">
          <w:rPr>
            <w:rStyle w:val="Hipervnculo"/>
            <w:rFonts w:asciiTheme="minorHAnsi" w:hAnsiTheme="minorHAnsi" w:cstheme="minorHAnsi"/>
            <w:color w:val="1155CC"/>
            <w:lang w:val="es-HN"/>
          </w:rPr>
          <w:t>https://criterio.hn/especiales/pueblos-olvidados/los-terceros-la-nueva-gran-amenaza-para-la-olvidada-mosquitia-hondurena/</w:t>
        </w:r>
      </w:hyperlink>
    </w:p>
    <w:p w14:paraId="2C8D5CB6" w14:textId="77777777" w:rsidR="00D729FA" w:rsidRPr="008B0EBE" w:rsidRDefault="00D729FA" w:rsidP="00D729FA">
      <w:pPr>
        <w:spacing w:line="360" w:lineRule="auto"/>
        <w:jc w:val="both"/>
        <w:rPr>
          <w:rFonts w:asciiTheme="minorHAnsi" w:hAnsiTheme="minorHAnsi" w:cstheme="minorHAnsi"/>
          <w:color w:val="05103E"/>
          <w:lang w:val="es-HN"/>
        </w:rPr>
      </w:pPr>
      <w:r w:rsidRPr="008B0EBE">
        <w:rPr>
          <w:rFonts w:asciiTheme="minorHAnsi" w:hAnsiTheme="minorHAnsi" w:cstheme="minorHAnsi"/>
          <w:color w:val="05103E"/>
          <w:lang w:val="es-HN"/>
        </w:rPr>
        <w:t xml:space="preserve"> </w:t>
      </w:r>
    </w:p>
    <w:p w14:paraId="462A76C0" w14:textId="77777777" w:rsidR="00D729FA" w:rsidRPr="008B0EBE" w:rsidRDefault="00D729FA" w:rsidP="00D729FA">
      <w:pPr>
        <w:widowControl/>
        <w:autoSpaceDE/>
        <w:autoSpaceDN/>
        <w:spacing w:line="360" w:lineRule="auto"/>
        <w:jc w:val="both"/>
        <w:rPr>
          <w:rFonts w:asciiTheme="minorHAnsi" w:hAnsiTheme="minorHAnsi" w:cstheme="minorHAnsi"/>
          <w:color w:val="05103E"/>
          <w:lang w:val="es-HN"/>
        </w:rPr>
      </w:pPr>
      <w:r w:rsidRPr="008B0EBE">
        <w:rPr>
          <w:rFonts w:asciiTheme="minorHAnsi" w:hAnsiTheme="minorHAnsi" w:cstheme="minorHAnsi"/>
          <w:i/>
          <w:color w:val="05103E"/>
          <w:lang w:val="es-HN"/>
        </w:rPr>
        <w:t xml:space="preserve">Swiss </w:t>
      </w:r>
      <w:proofErr w:type="spellStart"/>
      <w:r w:rsidRPr="008B0EBE">
        <w:rPr>
          <w:rFonts w:asciiTheme="minorHAnsi" w:hAnsiTheme="minorHAnsi" w:cstheme="minorHAnsi"/>
          <w:i/>
          <w:color w:val="05103E"/>
          <w:lang w:val="es-HN"/>
        </w:rPr>
        <w:t>Info</w:t>
      </w:r>
      <w:proofErr w:type="spellEnd"/>
      <w:r w:rsidRPr="008B0EBE">
        <w:rPr>
          <w:rFonts w:asciiTheme="minorHAnsi" w:hAnsiTheme="minorHAnsi" w:cstheme="minorHAnsi"/>
          <w:color w:val="05103E"/>
          <w:lang w:val="es-HN"/>
        </w:rPr>
        <w:t xml:space="preserve">. (s. f.). Recuperado 20 de julio de 2024, de </w:t>
      </w:r>
      <w:hyperlink r:id="rId13" w:history="1">
        <w:r w:rsidRPr="008B0EBE">
          <w:rPr>
            <w:rStyle w:val="Hipervnculo"/>
            <w:rFonts w:asciiTheme="minorHAnsi" w:hAnsiTheme="minorHAnsi" w:cstheme="minorHAnsi"/>
            <w:color w:val="1155CC"/>
            <w:lang w:val="es-HN"/>
          </w:rPr>
          <w:t>https://www.swissinfo.ch/spa/honduras-mantiene-deuda-histórica-con-misquitos-y-debe-acabar-discriminación/46917548</w:t>
        </w:r>
      </w:hyperlink>
    </w:p>
    <w:p w14:paraId="661A8C46" w14:textId="77777777" w:rsidR="00D729FA" w:rsidRPr="008B0EBE" w:rsidRDefault="00D729FA" w:rsidP="00D729FA">
      <w:pPr>
        <w:spacing w:line="360" w:lineRule="auto"/>
        <w:jc w:val="both"/>
        <w:rPr>
          <w:rFonts w:asciiTheme="minorHAnsi" w:hAnsiTheme="minorHAnsi" w:cstheme="minorHAnsi"/>
          <w:lang w:val="es-HN"/>
        </w:rPr>
      </w:pPr>
      <w:r w:rsidRPr="008B0EBE">
        <w:rPr>
          <w:rFonts w:asciiTheme="minorHAnsi" w:hAnsiTheme="minorHAnsi" w:cstheme="minorHAnsi"/>
          <w:lang w:val="es-HN"/>
        </w:rPr>
        <w:t xml:space="preserve"> </w:t>
      </w:r>
    </w:p>
    <w:p w14:paraId="2384422E" w14:textId="77777777" w:rsidR="00D729FA" w:rsidRPr="008B0EBE" w:rsidRDefault="00D729FA" w:rsidP="00D729FA">
      <w:pPr>
        <w:widowControl/>
        <w:autoSpaceDE/>
        <w:autoSpaceDN/>
        <w:spacing w:line="360" w:lineRule="auto"/>
        <w:jc w:val="both"/>
        <w:rPr>
          <w:rFonts w:asciiTheme="minorHAnsi" w:hAnsiTheme="minorHAnsi" w:cstheme="minorHAnsi"/>
          <w:lang w:val="es-HN"/>
        </w:rPr>
      </w:pPr>
      <w:r w:rsidRPr="008B0EBE">
        <w:rPr>
          <w:rFonts w:asciiTheme="minorHAnsi" w:hAnsiTheme="minorHAnsi" w:cstheme="minorHAnsi"/>
          <w:i/>
          <w:color w:val="05103E"/>
          <w:lang w:val="es-HN"/>
        </w:rPr>
        <w:t xml:space="preserve">Sen </w:t>
      </w:r>
      <w:proofErr w:type="spellStart"/>
      <w:r w:rsidRPr="008B0EBE">
        <w:rPr>
          <w:rFonts w:asciiTheme="minorHAnsi" w:hAnsiTheme="minorHAnsi" w:cstheme="minorHAnsi"/>
          <w:i/>
          <w:color w:val="05103E"/>
          <w:lang w:val="es-HN"/>
        </w:rPr>
        <w:t>Hn</w:t>
      </w:r>
      <w:proofErr w:type="spellEnd"/>
      <w:r w:rsidRPr="008B0EBE">
        <w:rPr>
          <w:rFonts w:asciiTheme="minorHAnsi" w:hAnsiTheme="minorHAnsi" w:cstheme="minorHAnsi"/>
          <w:color w:val="05103E"/>
          <w:lang w:val="es-HN"/>
        </w:rPr>
        <w:t xml:space="preserve">. (s. f.). Recuperado 20 de julio de 2024, de </w:t>
      </w:r>
      <w:hyperlink r:id="rId14" w:history="1">
        <w:r w:rsidRPr="008B0EBE">
          <w:rPr>
            <w:rStyle w:val="Hipervnculo"/>
            <w:rFonts w:asciiTheme="minorHAnsi" w:hAnsiTheme="minorHAnsi" w:cstheme="minorHAnsi"/>
            <w:color w:val="1155CC"/>
            <w:lang w:val="es-HN"/>
          </w:rPr>
          <w:t>https://sen.hn/el-gobierno-garantiza-que-consultara-a-misquitos-sobre-temas-petroleros/</w:t>
        </w:r>
      </w:hyperlink>
    </w:p>
    <w:p w14:paraId="23EBB601" w14:textId="77777777" w:rsidR="00D729FA" w:rsidRPr="008B0EBE" w:rsidRDefault="00D729FA" w:rsidP="00D729FA">
      <w:pPr>
        <w:spacing w:line="360" w:lineRule="auto"/>
        <w:jc w:val="both"/>
        <w:rPr>
          <w:rFonts w:asciiTheme="minorHAnsi" w:hAnsiTheme="minorHAnsi" w:cstheme="minorHAnsi"/>
          <w:lang w:val="es-HN"/>
        </w:rPr>
      </w:pPr>
      <w:r w:rsidRPr="008B0EBE">
        <w:rPr>
          <w:rFonts w:asciiTheme="minorHAnsi" w:hAnsiTheme="minorHAnsi" w:cstheme="minorHAnsi"/>
          <w:lang w:val="es-HN"/>
        </w:rPr>
        <w:t xml:space="preserve"> </w:t>
      </w:r>
    </w:p>
    <w:p w14:paraId="24B20F4B" w14:textId="77777777" w:rsidR="00D729FA" w:rsidRPr="008B0EBE" w:rsidRDefault="00D729FA" w:rsidP="00D729FA">
      <w:pPr>
        <w:spacing w:line="360" w:lineRule="auto"/>
        <w:jc w:val="both"/>
        <w:rPr>
          <w:rFonts w:asciiTheme="minorHAnsi" w:hAnsiTheme="minorHAnsi" w:cstheme="minorHAnsi"/>
          <w:lang w:val="es-HN"/>
        </w:rPr>
      </w:pPr>
      <w:r w:rsidRPr="008B0EBE">
        <w:rPr>
          <w:rFonts w:asciiTheme="minorHAnsi" w:hAnsiTheme="minorHAnsi" w:cstheme="minorHAnsi"/>
          <w:lang w:val="es-HN"/>
        </w:rPr>
        <w:t xml:space="preserve"> </w:t>
      </w:r>
    </w:p>
    <w:p w14:paraId="5E017C4C" w14:textId="77777777" w:rsidR="00D729FA" w:rsidRPr="008B0EBE" w:rsidRDefault="00D729FA" w:rsidP="00D729FA">
      <w:pPr>
        <w:widowControl/>
        <w:autoSpaceDE/>
        <w:autoSpaceDN/>
        <w:spacing w:line="360" w:lineRule="auto"/>
        <w:jc w:val="both"/>
        <w:rPr>
          <w:rFonts w:asciiTheme="minorHAnsi" w:hAnsiTheme="minorHAnsi" w:cstheme="minorHAnsi"/>
          <w:lang w:val="es-HN"/>
        </w:rPr>
      </w:pPr>
      <w:r w:rsidRPr="008B0EBE">
        <w:rPr>
          <w:rFonts w:asciiTheme="minorHAnsi" w:hAnsiTheme="minorHAnsi" w:cstheme="minorHAnsi"/>
          <w:i/>
          <w:color w:val="05103E"/>
          <w:lang w:val="es-HN"/>
        </w:rPr>
        <w:t>Exposiciones Tegucigalpa</w:t>
      </w:r>
      <w:r w:rsidRPr="008B0EBE">
        <w:rPr>
          <w:rFonts w:asciiTheme="minorHAnsi" w:hAnsiTheme="minorHAnsi" w:cstheme="minorHAnsi"/>
          <w:color w:val="05103E"/>
          <w:lang w:val="es-HN"/>
        </w:rPr>
        <w:t xml:space="preserve">. (s. f.). Recuperado 20 de julio de 2024, de </w:t>
      </w:r>
      <w:hyperlink r:id="rId15" w:anchor=":~:text=La%20econom%C3%ADa%20miskita%20est%C3%A1%20representada,la%20caza%20y%20pesca%20artesanal" w:history="1">
        <w:r w:rsidRPr="008B0EBE">
          <w:rPr>
            <w:rStyle w:val="Hipervnculo"/>
            <w:rFonts w:asciiTheme="minorHAnsi" w:hAnsiTheme="minorHAnsi" w:cstheme="minorHAnsi"/>
            <w:color w:val="1155CC"/>
            <w:lang w:val="es-HN"/>
          </w:rPr>
          <w:t>https://exposiciones.ccetegucigalpa.org/miskitu/#:~:text=La%20econom%C3%ADa%20miskita%20est%C3%A1%20representada,la%20caza%20y%20pesca%20artesanal</w:t>
        </w:r>
      </w:hyperlink>
    </w:p>
    <w:p w14:paraId="7A0A5775" w14:textId="77777777" w:rsidR="00D729FA" w:rsidRPr="008B0EBE" w:rsidRDefault="00D729FA" w:rsidP="00D729FA">
      <w:pPr>
        <w:spacing w:line="360" w:lineRule="auto"/>
        <w:jc w:val="both"/>
        <w:rPr>
          <w:rFonts w:asciiTheme="minorHAnsi" w:hAnsiTheme="minorHAnsi" w:cstheme="minorHAnsi"/>
          <w:color w:val="05103E"/>
          <w:lang w:val="es-HN"/>
        </w:rPr>
      </w:pPr>
      <w:r w:rsidRPr="008B0EBE">
        <w:rPr>
          <w:rFonts w:asciiTheme="minorHAnsi" w:hAnsiTheme="minorHAnsi" w:cstheme="minorHAnsi"/>
          <w:color w:val="05103E"/>
          <w:lang w:val="es-HN"/>
        </w:rPr>
        <w:t xml:space="preserve"> </w:t>
      </w:r>
    </w:p>
    <w:p w14:paraId="79CA1A43" w14:textId="77777777" w:rsidR="00D729FA" w:rsidRPr="008B0EBE" w:rsidRDefault="00D729FA" w:rsidP="00D729FA">
      <w:pPr>
        <w:widowControl/>
        <w:autoSpaceDE/>
        <w:autoSpaceDN/>
        <w:spacing w:line="360" w:lineRule="auto"/>
        <w:jc w:val="both"/>
        <w:rPr>
          <w:rFonts w:asciiTheme="minorHAnsi" w:hAnsiTheme="minorHAnsi" w:cstheme="minorHAnsi"/>
          <w:lang w:val="es-HN"/>
        </w:rPr>
      </w:pPr>
      <w:proofErr w:type="spellStart"/>
      <w:r w:rsidRPr="008B0EBE">
        <w:rPr>
          <w:rFonts w:asciiTheme="minorHAnsi" w:hAnsiTheme="minorHAnsi" w:cstheme="minorHAnsi"/>
          <w:i/>
          <w:color w:val="05103E"/>
          <w:lang w:val="es-HN"/>
        </w:rPr>
        <w:t>Infounitnca</w:t>
      </w:r>
      <w:proofErr w:type="spellEnd"/>
      <w:r w:rsidRPr="008B0EBE">
        <w:rPr>
          <w:rFonts w:asciiTheme="minorHAnsi" w:hAnsiTheme="minorHAnsi" w:cstheme="minorHAnsi"/>
          <w:color w:val="05103E"/>
          <w:lang w:val="es-HN"/>
        </w:rPr>
        <w:t xml:space="preserve">. (2022). Recuperado 20 de julio de 2024, de </w:t>
      </w:r>
      <w:hyperlink r:id="rId16" w:history="1">
        <w:r w:rsidRPr="008B0EBE">
          <w:rPr>
            <w:rStyle w:val="Hipervnculo"/>
            <w:rFonts w:asciiTheme="minorHAnsi" w:hAnsiTheme="minorHAnsi" w:cstheme="minorHAnsi"/>
            <w:color w:val="1155CC"/>
            <w:lang w:val="es-HN"/>
          </w:rPr>
          <w:t>https://infounitnca.iom.int/wp-content/uploads/2022/05/analisis_contexto_miski</w:t>
        </w:r>
      </w:hyperlink>
      <w:r w:rsidRPr="008B0EBE">
        <w:rPr>
          <w:rFonts w:asciiTheme="minorHAnsi" w:hAnsiTheme="minorHAnsi" w:cstheme="minorHAnsi"/>
          <w:color w:val="1155CC"/>
          <w:u w:val="single"/>
          <w:lang w:val="es-HN"/>
        </w:rPr>
        <w:t xml:space="preserve">  </w:t>
      </w:r>
    </w:p>
    <w:p w14:paraId="516D1BBC" w14:textId="06E6BF48" w:rsidR="00C20658" w:rsidRPr="0005453D" w:rsidRDefault="00C20658" w:rsidP="00C20658">
      <w:pPr>
        <w:spacing w:before="209" w:line="360" w:lineRule="auto"/>
        <w:rPr>
          <w:rFonts w:ascii="Times New Roman" w:eastAsia="Arial MT" w:hAnsi="Times New Roman"/>
          <w:b/>
          <w:bCs/>
          <w:sz w:val="24"/>
          <w:szCs w:val="24"/>
          <w:lang w:val="es-HN"/>
        </w:rPr>
      </w:pPr>
      <w:r w:rsidRPr="00C20658">
        <w:rPr>
          <w:lang w:val="es-HN"/>
        </w:rPr>
        <w:t xml:space="preserve"> </w:t>
      </w:r>
    </w:p>
    <w:p w14:paraId="4089CF08" w14:textId="1543E05C" w:rsidR="00087BF7" w:rsidRPr="008B0EBE" w:rsidRDefault="00087BF7" w:rsidP="00087BF7">
      <w:pPr>
        <w:pStyle w:val="NormalWeb"/>
        <w:rPr>
          <w:rFonts w:asciiTheme="minorHAnsi" w:hAnsiTheme="minorHAnsi" w:cstheme="minorHAnsi"/>
          <w:sz w:val="22"/>
          <w:szCs w:val="22"/>
        </w:rPr>
      </w:pPr>
      <w:r w:rsidRPr="008B0EBE">
        <w:rPr>
          <w:rFonts w:asciiTheme="minorHAnsi" w:eastAsiaTheme="majorEastAsia" w:hAnsiTheme="minorHAnsi" w:cstheme="minorHAnsi"/>
          <w:b/>
          <w:bCs/>
          <w:color w:val="2E74B5" w:themeColor="accent1" w:themeShade="BF"/>
          <w:sz w:val="28"/>
          <w:szCs w:val="28"/>
          <w:lang w:eastAsia="en-US"/>
        </w:rPr>
        <w:lastRenderedPageBreak/>
        <w:t>Cómo citar este trabajo (Vancouver):</w:t>
      </w:r>
      <w:r>
        <w:br/>
      </w:r>
      <w:r w:rsidRPr="008B0EBE">
        <w:rPr>
          <w:rFonts w:asciiTheme="minorHAnsi" w:hAnsiTheme="minorHAnsi" w:cstheme="minorHAnsi"/>
          <w:sz w:val="22"/>
          <w:szCs w:val="22"/>
        </w:rPr>
        <w:t xml:space="preserve">Borjas Medina AG, Molina Melgar ER, Castro Lozano RD, Chávez Cabrera SJ, Cruz Alvarenga LA. ÉXODO DESDE LA MOSQUITIA HASTA SAN PEDRO SULA, MIRADA Y ANÁLISIS ANTE ESA REALIDAD [resumen]. En: Vispo NS, editor. </w:t>
      </w:r>
      <w:r w:rsidRPr="008B0EBE">
        <w:rPr>
          <w:rStyle w:val="nfasis"/>
          <w:rFonts w:asciiTheme="minorHAnsi" w:hAnsiTheme="minorHAnsi" w:cstheme="minorHAnsi"/>
          <w:sz w:val="22"/>
          <w:szCs w:val="22"/>
        </w:rPr>
        <w:t>Memorias del Congreso de Investigación y Posgrado UNAH 2024: Libro de resúmenes</w:t>
      </w:r>
      <w:r w:rsidRPr="008B0EBE">
        <w:rPr>
          <w:rFonts w:asciiTheme="minorHAnsi" w:hAnsiTheme="minorHAnsi" w:cstheme="minorHAnsi"/>
          <w:sz w:val="22"/>
          <w:szCs w:val="22"/>
        </w:rPr>
        <w:t xml:space="preserve">. Madrid/Tegucigalpa: Clinical Biotec S.L.; Universidad Nacional Autónoma de Honduras; 2024. </w:t>
      </w:r>
      <w:proofErr w:type="spellStart"/>
      <w:r w:rsidRPr="008B0EBE">
        <w:rPr>
          <w:rFonts w:asciiTheme="minorHAnsi" w:hAnsiTheme="minorHAnsi" w:cstheme="minorHAnsi"/>
          <w:sz w:val="22"/>
          <w:szCs w:val="22"/>
        </w:rPr>
        <w:t>doi</w:t>
      </w:r>
      <w:proofErr w:type="spellEnd"/>
      <w:r w:rsidRPr="008B0EBE">
        <w:rPr>
          <w:rFonts w:asciiTheme="minorHAnsi" w:hAnsiTheme="minorHAnsi" w:cstheme="minorHAnsi"/>
          <w:sz w:val="22"/>
          <w:szCs w:val="22"/>
        </w:rPr>
        <w:t>: 10.70099/</w:t>
      </w:r>
      <w:proofErr w:type="spellStart"/>
      <w:r w:rsidRPr="008B0EBE">
        <w:rPr>
          <w:rFonts w:asciiTheme="minorHAnsi" w:hAnsiTheme="minorHAnsi" w:cstheme="minorHAnsi"/>
          <w:sz w:val="22"/>
          <w:szCs w:val="22"/>
        </w:rPr>
        <w:t>cb</w:t>
      </w:r>
      <w:proofErr w:type="spellEnd"/>
      <w:r w:rsidRPr="008B0EBE">
        <w:rPr>
          <w:rFonts w:asciiTheme="minorHAnsi" w:hAnsiTheme="minorHAnsi" w:cstheme="minorHAnsi"/>
          <w:sz w:val="22"/>
          <w:szCs w:val="22"/>
        </w:rPr>
        <w:t>/</w:t>
      </w:r>
      <w:proofErr w:type="spellStart"/>
      <w:r w:rsidRPr="008B0EBE">
        <w:rPr>
          <w:rFonts w:asciiTheme="minorHAnsi" w:hAnsiTheme="minorHAnsi" w:cstheme="minorHAnsi"/>
          <w:sz w:val="22"/>
          <w:szCs w:val="22"/>
        </w:rPr>
        <w:t>unah</w:t>
      </w:r>
      <w:proofErr w:type="spellEnd"/>
      <w:r w:rsidRPr="008B0EBE">
        <w:rPr>
          <w:rFonts w:asciiTheme="minorHAnsi" w:hAnsiTheme="minorHAnsi" w:cstheme="minorHAnsi"/>
          <w:sz w:val="22"/>
          <w:szCs w:val="22"/>
        </w:rPr>
        <w:t>/2024.mem</w:t>
      </w:r>
    </w:p>
    <w:p w14:paraId="01D848BE" w14:textId="77777777" w:rsidR="00087BF7" w:rsidRPr="008B0EBE" w:rsidRDefault="00087BF7" w:rsidP="00087BF7">
      <w:pPr>
        <w:pStyle w:val="NormalWeb"/>
        <w:rPr>
          <w:rFonts w:asciiTheme="minorHAnsi" w:hAnsiTheme="minorHAnsi" w:cstheme="minorHAnsi"/>
          <w:sz w:val="22"/>
          <w:szCs w:val="22"/>
        </w:rPr>
      </w:pPr>
      <w:r w:rsidRPr="008B0EBE">
        <w:rPr>
          <w:rFonts w:asciiTheme="minorHAnsi" w:eastAsiaTheme="majorEastAsia" w:hAnsiTheme="minorHAnsi" w:cstheme="minorHAnsi"/>
          <w:b/>
          <w:bCs/>
          <w:color w:val="2E74B5" w:themeColor="accent1" w:themeShade="BF"/>
          <w:sz w:val="28"/>
          <w:szCs w:val="28"/>
          <w:lang w:eastAsia="en-US"/>
        </w:rPr>
        <w:t>ISBN del libro:</w:t>
      </w:r>
      <w:r>
        <w:t xml:space="preserve"> </w:t>
      </w:r>
      <w:r w:rsidRPr="008B0EBE">
        <w:rPr>
          <w:rFonts w:asciiTheme="minorHAnsi" w:hAnsiTheme="minorHAnsi" w:cstheme="minorHAnsi"/>
          <w:sz w:val="22"/>
          <w:szCs w:val="22"/>
        </w:rPr>
        <w:t>978-84-09-76685-7</w:t>
      </w:r>
    </w:p>
    <w:p w14:paraId="31A443CF" w14:textId="4CE20618" w:rsidR="0005453D" w:rsidRDefault="0005453D" w:rsidP="00C20658">
      <w:pPr>
        <w:spacing w:before="209" w:line="360" w:lineRule="auto"/>
        <w:rPr>
          <w:rFonts w:ascii="Times New Roman" w:eastAsia="Arial MT" w:hAnsi="Times New Roman"/>
          <w:b/>
          <w:bCs/>
          <w:sz w:val="24"/>
          <w:szCs w:val="24"/>
          <w:lang w:val="es-HN"/>
        </w:rPr>
      </w:pPr>
    </w:p>
    <w:p w14:paraId="7FF8BB03" w14:textId="58C1B8B0" w:rsidR="00C20658" w:rsidRPr="0005453D" w:rsidRDefault="00C20658" w:rsidP="00C20658">
      <w:pPr>
        <w:spacing w:before="209" w:line="360" w:lineRule="auto"/>
        <w:rPr>
          <w:lang w:val="es-HN"/>
        </w:rPr>
      </w:pPr>
    </w:p>
    <w:p w14:paraId="042B6B96" w14:textId="77777777" w:rsidR="00745BC0" w:rsidRPr="0005453D" w:rsidRDefault="00745BC0">
      <w:pPr>
        <w:rPr>
          <w:lang w:val="es-HN"/>
        </w:rPr>
      </w:pPr>
    </w:p>
    <w:sectPr w:rsidR="00745BC0" w:rsidRPr="000545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31A0"/>
    <w:multiLevelType w:val="multilevel"/>
    <w:tmpl w:val="14264744"/>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1" w15:restartNumberingAfterBreak="0">
    <w:nsid w:val="071431E5"/>
    <w:multiLevelType w:val="multilevel"/>
    <w:tmpl w:val="B192AFFC"/>
    <w:lvl w:ilvl="0">
      <w:start w:val="1"/>
      <w:numFmt w:val="decimal"/>
      <w:lvlText w:val="%1."/>
      <w:lvlJc w:val="left"/>
      <w:pPr>
        <w:ind w:left="592" w:hanging="360"/>
      </w:pPr>
      <w:rPr>
        <w:rFonts w:ascii="Times New Roman" w:hAnsi="Times New Roman" w:cs="Times New Roman" w:hint="default"/>
      </w:rPr>
    </w:lvl>
    <w:lvl w:ilvl="1">
      <w:start w:val="1"/>
      <w:numFmt w:val="bullet"/>
      <w:lvlText w:val="o"/>
      <w:lvlJc w:val="left"/>
      <w:pPr>
        <w:ind w:left="1312" w:hanging="360"/>
      </w:pPr>
      <w:rPr>
        <w:rFonts w:ascii="Courier New" w:hAnsi="Courier New" w:cs="Courier New" w:hint="default"/>
      </w:rPr>
    </w:lvl>
    <w:lvl w:ilvl="2">
      <w:start w:val="1"/>
      <w:numFmt w:val="bullet"/>
      <w:lvlText w:val=""/>
      <w:lvlJc w:val="left"/>
      <w:pPr>
        <w:ind w:left="2032" w:hanging="360"/>
      </w:pPr>
      <w:rPr>
        <w:rFonts w:ascii="Wingdings" w:hAnsi="Wingdings" w:hint="default"/>
      </w:rPr>
    </w:lvl>
    <w:lvl w:ilvl="3">
      <w:start w:val="1"/>
      <w:numFmt w:val="bullet"/>
      <w:lvlText w:val=""/>
      <w:lvlJc w:val="left"/>
      <w:pPr>
        <w:ind w:left="2752" w:hanging="360"/>
      </w:pPr>
      <w:rPr>
        <w:rFonts w:ascii="Symbol" w:hAnsi="Symbol" w:hint="default"/>
      </w:rPr>
    </w:lvl>
    <w:lvl w:ilvl="4">
      <w:start w:val="1"/>
      <w:numFmt w:val="bullet"/>
      <w:lvlText w:val="o"/>
      <w:lvlJc w:val="left"/>
      <w:pPr>
        <w:ind w:left="3472" w:hanging="360"/>
      </w:pPr>
      <w:rPr>
        <w:rFonts w:ascii="Courier New" w:hAnsi="Courier New" w:cs="Courier New" w:hint="default"/>
      </w:rPr>
    </w:lvl>
    <w:lvl w:ilvl="5">
      <w:start w:val="1"/>
      <w:numFmt w:val="bullet"/>
      <w:lvlText w:val=""/>
      <w:lvlJc w:val="left"/>
      <w:pPr>
        <w:ind w:left="4192" w:hanging="360"/>
      </w:pPr>
      <w:rPr>
        <w:rFonts w:ascii="Wingdings" w:hAnsi="Wingdings" w:hint="default"/>
      </w:rPr>
    </w:lvl>
    <w:lvl w:ilvl="6">
      <w:start w:val="1"/>
      <w:numFmt w:val="bullet"/>
      <w:lvlText w:val=""/>
      <w:lvlJc w:val="left"/>
      <w:pPr>
        <w:ind w:left="4912" w:hanging="360"/>
      </w:pPr>
      <w:rPr>
        <w:rFonts w:ascii="Symbol" w:hAnsi="Symbol" w:hint="default"/>
      </w:rPr>
    </w:lvl>
    <w:lvl w:ilvl="7">
      <w:start w:val="1"/>
      <w:numFmt w:val="bullet"/>
      <w:lvlText w:val="o"/>
      <w:lvlJc w:val="left"/>
      <w:pPr>
        <w:ind w:left="5632" w:hanging="360"/>
      </w:pPr>
      <w:rPr>
        <w:rFonts w:ascii="Courier New" w:hAnsi="Courier New" w:cs="Courier New" w:hint="default"/>
      </w:rPr>
    </w:lvl>
    <w:lvl w:ilvl="8">
      <w:start w:val="1"/>
      <w:numFmt w:val="bullet"/>
      <w:lvlText w:val=""/>
      <w:lvlJc w:val="left"/>
      <w:pPr>
        <w:ind w:left="6352" w:hanging="360"/>
      </w:pPr>
      <w:rPr>
        <w:rFonts w:ascii="Wingdings" w:hAnsi="Wingdings" w:hint="default"/>
      </w:rPr>
    </w:lvl>
  </w:abstractNum>
  <w:abstractNum w:abstractNumId="2" w15:restartNumberingAfterBreak="0">
    <w:nsid w:val="13820E90"/>
    <w:multiLevelType w:val="multilevel"/>
    <w:tmpl w:val="BB0097F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28714057"/>
    <w:multiLevelType w:val="multilevel"/>
    <w:tmpl w:val="FCAAD37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432E03AE"/>
    <w:multiLevelType w:val="multilevel"/>
    <w:tmpl w:val="C4C09618"/>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5" w15:restartNumberingAfterBreak="0">
    <w:nsid w:val="46352AC9"/>
    <w:multiLevelType w:val="multilevel"/>
    <w:tmpl w:val="253E497E"/>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6" w15:restartNumberingAfterBreak="0">
    <w:nsid w:val="59FD07AB"/>
    <w:multiLevelType w:val="multilevel"/>
    <w:tmpl w:val="97065748"/>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7" w15:restartNumberingAfterBreak="0">
    <w:nsid w:val="5CB01CE0"/>
    <w:multiLevelType w:val="multilevel"/>
    <w:tmpl w:val="DEFC2392"/>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8" w15:restartNumberingAfterBreak="0">
    <w:nsid w:val="604871EB"/>
    <w:multiLevelType w:val="multilevel"/>
    <w:tmpl w:val="0BEA6D5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9" w15:restartNumberingAfterBreak="0">
    <w:nsid w:val="7AEE5373"/>
    <w:multiLevelType w:val="multilevel"/>
    <w:tmpl w:val="6B5ABC44"/>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num w:numId="1" w16cid:durableId="1567452624">
    <w:abstractNumId w:val="1"/>
    <w:lvlOverride w:ilvl="0">
      <w:startOverride w:val="1"/>
    </w:lvlOverride>
    <w:lvlOverride w:ilvl="1"/>
    <w:lvlOverride w:ilvl="2"/>
    <w:lvlOverride w:ilvl="3"/>
    <w:lvlOverride w:ilvl="4"/>
    <w:lvlOverride w:ilvl="5"/>
    <w:lvlOverride w:ilvl="6"/>
    <w:lvlOverride w:ilvl="7"/>
    <w:lvlOverride w:ilvl="8"/>
  </w:num>
  <w:num w:numId="2" w16cid:durableId="17320760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62343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1460551">
    <w:abstractNumId w:val="4"/>
  </w:num>
  <w:num w:numId="5" w16cid:durableId="2082829264">
    <w:abstractNumId w:val="6"/>
  </w:num>
  <w:num w:numId="6" w16cid:durableId="1378777606">
    <w:abstractNumId w:val="7"/>
  </w:num>
  <w:num w:numId="7" w16cid:durableId="127283338">
    <w:abstractNumId w:val="9"/>
  </w:num>
  <w:num w:numId="8" w16cid:durableId="857156457">
    <w:abstractNumId w:val="0"/>
  </w:num>
  <w:num w:numId="9" w16cid:durableId="174737238">
    <w:abstractNumId w:val="5"/>
  </w:num>
  <w:num w:numId="10" w16cid:durableId="15233256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G0NLEwNjQwMDa2sDRV0lEKTi0uzszPAykwrgUAvgPyviwAAAA="/>
  </w:docVars>
  <w:rsids>
    <w:rsidRoot w:val="00C20658"/>
    <w:rsid w:val="0005453D"/>
    <w:rsid w:val="00087BF7"/>
    <w:rsid w:val="000C6A91"/>
    <w:rsid w:val="001B31F0"/>
    <w:rsid w:val="002E11CB"/>
    <w:rsid w:val="005178C7"/>
    <w:rsid w:val="006B2B51"/>
    <w:rsid w:val="006D4355"/>
    <w:rsid w:val="00745BC0"/>
    <w:rsid w:val="008B0EBE"/>
    <w:rsid w:val="00983781"/>
    <w:rsid w:val="00C20658"/>
    <w:rsid w:val="00D729FA"/>
    <w:rsid w:val="00E418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1E89"/>
  <w15:chartTrackingRefBased/>
  <w15:docId w15:val="{5788B78F-7B87-4131-B54D-BFDE39D8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658"/>
    <w:pPr>
      <w:widowControl w:val="0"/>
      <w:autoSpaceDE w:val="0"/>
      <w:autoSpaceDN w:val="0"/>
      <w:spacing w:after="0" w:line="240" w:lineRule="auto"/>
    </w:pPr>
    <w:rPr>
      <w:rFonts w:ascii="Arial MT" w:eastAsia="Times New Roman" w:hAnsi="Arial MT"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rsid w:val="00C20658"/>
    <w:pPr>
      <w:spacing w:before="100" w:beforeAutospacing="1" w:after="100" w:afterAutospacing="1"/>
      <w:ind w:left="232" w:right="183"/>
      <w:jc w:val="both"/>
      <w:outlineLvl w:val="0"/>
    </w:pPr>
    <w:rPr>
      <w:sz w:val="24"/>
      <w:szCs w:val="24"/>
    </w:rPr>
  </w:style>
  <w:style w:type="paragraph" w:customStyle="1" w:styleId="Ttulo21">
    <w:name w:val="Título 21"/>
    <w:basedOn w:val="Normal"/>
    <w:semiHidden/>
    <w:rsid w:val="00C20658"/>
    <w:pPr>
      <w:spacing w:before="100" w:beforeAutospacing="1" w:after="100" w:afterAutospacing="1"/>
      <w:ind w:left="232"/>
      <w:outlineLvl w:val="1"/>
    </w:pPr>
    <w:rPr>
      <w:rFonts w:ascii="Arial" w:hAnsi="Arial" w:cs="Arial"/>
      <w:b/>
      <w:bCs/>
    </w:rPr>
  </w:style>
  <w:style w:type="paragraph" w:customStyle="1" w:styleId="Textoindependiente1">
    <w:name w:val="Texto independiente1"/>
    <w:basedOn w:val="Normal"/>
    <w:rsid w:val="00C20658"/>
  </w:style>
  <w:style w:type="paragraph" w:customStyle="1" w:styleId="Prrafodelista1">
    <w:name w:val="Párrafo de lista1"/>
    <w:basedOn w:val="Normal"/>
    <w:rsid w:val="00C20658"/>
    <w:pPr>
      <w:spacing w:before="100" w:beforeAutospacing="1" w:after="100" w:afterAutospacing="1"/>
      <w:ind w:left="374" w:hanging="140"/>
    </w:pPr>
  </w:style>
  <w:style w:type="paragraph" w:customStyle="1" w:styleId="Biont71References">
    <w:name w:val="Biont_7.1_References"/>
    <w:basedOn w:val="Normal"/>
    <w:rsid w:val="00C20658"/>
    <w:pPr>
      <w:widowControl/>
      <w:autoSpaceDN/>
      <w:adjustRightInd w:val="0"/>
      <w:snapToGrid w:val="0"/>
      <w:spacing w:before="100" w:beforeAutospacing="1" w:after="100" w:afterAutospacing="1"/>
      <w:ind w:left="425" w:hanging="425"/>
      <w:jc w:val="both"/>
    </w:pPr>
    <w:rPr>
      <w:rFonts w:ascii="Palatino Linotype" w:hAnsi="Palatino Linotype"/>
      <w:color w:val="000000"/>
      <w:sz w:val="18"/>
      <w:szCs w:val="18"/>
    </w:rPr>
  </w:style>
  <w:style w:type="paragraph" w:customStyle="1" w:styleId="Bibliografa1">
    <w:name w:val="Bibliografía1"/>
    <w:basedOn w:val="Normal"/>
    <w:next w:val="Normal"/>
    <w:semiHidden/>
    <w:rsid w:val="00C20658"/>
  </w:style>
  <w:style w:type="character" w:styleId="Hipervnculo">
    <w:name w:val="Hyperlink"/>
    <w:basedOn w:val="Fuentedeprrafopredeter"/>
    <w:uiPriority w:val="99"/>
    <w:unhideWhenUsed/>
    <w:rsid w:val="00C20658"/>
    <w:rPr>
      <w:color w:val="0000FF"/>
      <w:u w:val="single"/>
    </w:rPr>
  </w:style>
  <w:style w:type="paragraph" w:styleId="NormalWeb">
    <w:name w:val="Normal (Web)"/>
    <w:basedOn w:val="Normal"/>
    <w:uiPriority w:val="99"/>
    <w:semiHidden/>
    <w:unhideWhenUsed/>
    <w:rsid w:val="00087BF7"/>
    <w:pPr>
      <w:widowControl/>
      <w:autoSpaceDE/>
      <w:autoSpaceDN/>
      <w:spacing w:before="100" w:beforeAutospacing="1" w:after="100" w:afterAutospacing="1"/>
    </w:pPr>
    <w:rPr>
      <w:rFonts w:ascii="Times New Roman" w:hAnsi="Times New Roman"/>
      <w:sz w:val="24"/>
      <w:szCs w:val="24"/>
      <w:lang w:val="es-ES" w:eastAsia="es-ES"/>
    </w:rPr>
  </w:style>
  <w:style w:type="character" w:styleId="nfasis">
    <w:name w:val="Emphasis"/>
    <w:basedOn w:val="Fuentedeprrafopredeter"/>
    <w:uiPriority w:val="20"/>
    <w:qFormat/>
    <w:rsid w:val="00087B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0339">
      <w:bodyDiv w:val="1"/>
      <w:marLeft w:val="0"/>
      <w:marRight w:val="0"/>
      <w:marTop w:val="0"/>
      <w:marBottom w:val="0"/>
      <w:divBdr>
        <w:top w:val="none" w:sz="0" w:space="0" w:color="auto"/>
        <w:left w:val="none" w:sz="0" w:space="0" w:color="auto"/>
        <w:bottom w:val="none" w:sz="0" w:space="0" w:color="auto"/>
        <w:right w:val="none" w:sz="0" w:space="0" w:color="auto"/>
      </w:divBdr>
    </w:div>
    <w:div w:id="426853572">
      <w:bodyDiv w:val="1"/>
      <w:marLeft w:val="0"/>
      <w:marRight w:val="0"/>
      <w:marTop w:val="0"/>
      <w:marBottom w:val="0"/>
      <w:divBdr>
        <w:top w:val="none" w:sz="0" w:space="0" w:color="auto"/>
        <w:left w:val="none" w:sz="0" w:space="0" w:color="auto"/>
        <w:bottom w:val="none" w:sz="0" w:space="0" w:color="auto"/>
        <w:right w:val="none" w:sz="0" w:space="0" w:color="auto"/>
      </w:divBdr>
    </w:div>
    <w:div w:id="842932310">
      <w:bodyDiv w:val="1"/>
      <w:marLeft w:val="0"/>
      <w:marRight w:val="0"/>
      <w:marTop w:val="0"/>
      <w:marBottom w:val="0"/>
      <w:divBdr>
        <w:top w:val="none" w:sz="0" w:space="0" w:color="auto"/>
        <w:left w:val="none" w:sz="0" w:space="0" w:color="auto"/>
        <w:bottom w:val="none" w:sz="0" w:space="0" w:color="auto"/>
        <w:right w:val="none" w:sz="0" w:space="0" w:color="auto"/>
      </w:divBdr>
    </w:div>
    <w:div w:id="1323005414">
      <w:bodyDiv w:val="1"/>
      <w:marLeft w:val="0"/>
      <w:marRight w:val="0"/>
      <w:marTop w:val="0"/>
      <w:marBottom w:val="0"/>
      <w:divBdr>
        <w:top w:val="none" w:sz="0" w:space="0" w:color="auto"/>
        <w:left w:val="none" w:sz="0" w:space="0" w:color="auto"/>
        <w:bottom w:val="none" w:sz="0" w:space="0" w:color="auto"/>
        <w:right w:val="none" w:sz="0" w:space="0" w:color="auto"/>
      </w:divBdr>
    </w:div>
    <w:div w:id="1826168626">
      <w:bodyDiv w:val="1"/>
      <w:marLeft w:val="0"/>
      <w:marRight w:val="0"/>
      <w:marTop w:val="0"/>
      <w:marBottom w:val="0"/>
      <w:divBdr>
        <w:top w:val="none" w:sz="0" w:space="0" w:color="auto"/>
        <w:left w:val="none" w:sz="0" w:space="0" w:color="auto"/>
        <w:bottom w:val="none" w:sz="0" w:space="0" w:color="auto"/>
        <w:right w:val="none" w:sz="0" w:space="0" w:color="auto"/>
      </w:divBdr>
    </w:div>
    <w:div w:id="210726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swissinfo.ch/spa/honduras-mantiene-deuda-hist%C3%B3rica-con-misquitos-y-debe-acabar-discriminaci%C3%B3n/4691754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criterio.hn/especiales/pueblos-olvidados/los-terceros-la-nueva-gran-amenaza-para-la-olvidada-mosquitia-honduren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founitnca.iom.int/wp-content/uploads/2022/05/analisis_contexto_miski"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iucn.org/es/news/mexico-america-central-y-el-caribe/202006/la-moskitia-hondurena-biodiversa-costera-y-entre-espejos-de-agua" TargetMode="External"/><Relationship Id="rId5" Type="http://schemas.openxmlformats.org/officeDocument/2006/relationships/hyperlink" Target="mailto:agborjasm@unah.edu%20" TargetMode="External"/><Relationship Id="rId15" Type="http://schemas.openxmlformats.org/officeDocument/2006/relationships/hyperlink" Target="file:///C:\Users\User\Desktop\LUIS%20CRUZ\M&#201;TODOS%20DE%20INVESTIGACI&#211;N%20II\MISQUITOS%20TRABAJO%20FINAL.docx" TargetMode="External"/><Relationship Id="rId10" Type="http://schemas.openxmlformats.org/officeDocument/2006/relationships/hyperlink" Target="https://infounitnca.iom.int/wpcontent/uploads/2022/05/analisis_contexto_miskitoUE_OIM.pdf"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sen.hn/el-gobierno-garantiza-que-consultara-a-misquitos-sobre-temas-petroler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939</Words>
  <Characters>5169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Bionatura Journal</cp:lastModifiedBy>
  <cp:revision>4</cp:revision>
  <dcterms:created xsi:type="dcterms:W3CDTF">2025-06-12T09:53:00Z</dcterms:created>
  <dcterms:modified xsi:type="dcterms:W3CDTF">2025-10-29T09:32:00Z</dcterms:modified>
</cp:coreProperties>
</file>