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FF8C" w14:textId="22A50DEA" w:rsidR="00BA557A" w:rsidRPr="00C3130A" w:rsidRDefault="007C5783" w:rsidP="000325F9">
      <w:pPr>
        <w:spacing w:line="360" w:lineRule="auto"/>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t>REPORTE DE CASO</w:t>
      </w:r>
    </w:p>
    <w:p w14:paraId="0DAB44F4" w14:textId="153F02D6" w:rsidR="0044092F" w:rsidRPr="00C84BAA" w:rsidRDefault="007C5783" w:rsidP="00D12500">
      <w:pPr>
        <w:spacing w:line="360" w:lineRule="auto"/>
        <w:rPr>
          <w:rFonts w:ascii="Calibri Light" w:hAnsi="Calibri Light" w:cs="Calibri Light"/>
          <w:b/>
          <w:sz w:val="28"/>
          <w:szCs w:val="28"/>
        </w:rPr>
      </w:pPr>
      <w:r w:rsidRPr="00C3130A">
        <w:rPr>
          <w:rFonts w:asciiTheme="minorHAnsi" w:eastAsiaTheme="majorEastAsia" w:hAnsiTheme="minorHAnsi" w:cstheme="minorHAnsi"/>
          <w:b/>
          <w:bCs/>
          <w:color w:val="365F91" w:themeColor="accent1" w:themeShade="BF"/>
          <w:sz w:val="28"/>
          <w:szCs w:val="28"/>
        </w:rPr>
        <w:t>ASOCIACIÓN DEL USO CRÓNICO DE COCAÍNA Y HEMORRAGIA INTRAPARENQUIMATOSA DE FOCOS MÚLTIPLES.</w:t>
      </w:r>
      <w:r w:rsidR="009830F4" w:rsidRPr="009830F4">
        <w:rPr>
          <w:rFonts w:asciiTheme="minorHAnsi" w:hAnsiTheme="minorHAnsi" w:cstheme="minorHAnsi"/>
          <w:b/>
          <w:color w:val="FFFFFF" w:themeColor="background1"/>
          <w:spacing w:val="20"/>
          <w:sz w:val="28"/>
          <w:szCs w:val="28"/>
        </w:rPr>
        <w:t xml:space="preserve"> YMORRAGIA INTRAPARENQUIMATOSA DE FOCOS PLE</w:t>
      </w:r>
    </w:p>
    <w:p w14:paraId="27DABF02" w14:textId="67BE9141" w:rsidR="009830F4" w:rsidRPr="00033B62" w:rsidRDefault="009830F4" w:rsidP="006A19DF">
      <w:pPr>
        <w:ind w:right="3370"/>
        <w:rPr>
          <w:rFonts w:asciiTheme="minorHAnsi" w:eastAsiaTheme="majorEastAsia" w:hAnsiTheme="minorHAnsi" w:cstheme="minorHAnsi"/>
          <w:b/>
          <w:bCs/>
          <w:color w:val="4F81BD" w:themeColor="accent1"/>
          <w:sz w:val="26"/>
          <w:szCs w:val="26"/>
        </w:rPr>
      </w:pPr>
      <w:r w:rsidRPr="00033B62">
        <w:rPr>
          <w:rFonts w:asciiTheme="minorHAnsi" w:eastAsiaTheme="majorEastAsia" w:hAnsiTheme="minorHAnsi" w:cstheme="minorHAnsi"/>
          <w:b/>
          <w:bCs/>
          <w:color w:val="4F81BD" w:themeColor="accent1"/>
          <w:sz w:val="26"/>
          <w:szCs w:val="26"/>
        </w:rPr>
        <w:t>Bautista Doré</w:t>
      </w:r>
      <w:r w:rsidRPr="00033B62">
        <w:rPr>
          <w:rFonts w:asciiTheme="minorHAnsi" w:eastAsiaTheme="majorEastAsia" w:hAnsiTheme="minorHAnsi" w:cstheme="minorHAnsi"/>
          <w:b/>
          <w:bCs/>
          <w:color w:val="4F81BD" w:themeColor="accent1"/>
          <w:sz w:val="26"/>
          <w:szCs w:val="26"/>
          <w:vertAlign w:val="superscript"/>
        </w:rPr>
        <w:t>1</w:t>
      </w:r>
      <w:r w:rsidRPr="00033B62">
        <w:rPr>
          <w:rFonts w:asciiTheme="minorHAnsi" w:eastAsiaTheme="majorEastAsia" w:hAnsiTheme="minorHAnsi" w:cstheme="minorHAnsi"/>
          <w:b/>
          <w:bCs/>
          <w:color w:val="4F81BD" w:themeColor="accent1"/>
          <w:sz w:val="26"/>
          <w:szCs w:val="26"/>
        </w:rPr>
        <w:t>, Díaz Rina</w:t>
      </w:r>
      <w:r w:rsidRPr="00033B62">
        <w:rPr>
          <w:rFonts w:asciiTheme="minorHAnsi" w:eastAsiaTheme="majorEastAsia" w:hAnsiTheme="minorHAnsi" w:cstheme="minorHAnsi"/>
          <w:b/>
          <w:bCs/>
          <w:color w:val="4F81BD" w:themeColor="accent1"/>
          <w:sz w:val="26"/>
          <w:szCs w:val="26"/>
          <w:vertAlign w:val="superscript"/>
        </w:rPr>
        <w:t>1</w:t>
      </w:r>
      <w:r w:rsidRPr="00033B62">
        <w:rPr>
          <w:rFonts w:asciiTheme="minorHAnsi" w:eastAsiaTheme="majorEastAsia" w:hAnsiTheme="minorHAnsi" w:cstheme="minorHAnsi"/>
          <w:b/>
          <w:bCs/>
          <w:color w:val="4F81BD" w:themeColor="accent1"/>
          <w:sz w:val="26"/>
          <w:szCs w:val="26"/>
        </w:rPr>
        <w:t>, Gómez Pedro</w:t>
      </w:r>
      <w:r w:rsidR="00D12500" w:rsidRPr="00033B62">
        <w:rPr>
          <w:rFonts w:asciiTheme="minorHAnsi" w:eastAsiaTheme="majorEastAsia" w:hAnsiTheme="minorHAnsi" w:cstheme="minorHAnsi"/>
          <w:b/>
          <w:bCs/>
          <w:color w:val="4F81BD" w:themeColor="accent1"/>
          <w:sz w:val="26"/>
          <w:szCs w:val="26"/>
          <w:vertAlign w:val="superscript"/>
        </w:rPr>
        <w:t>1</w:t>
      </w:r>
    </w:p>
    <w:p w14:paraId="0DDE763D" w14:textId="77777777" w:rsidR="009830F4" w:rsidRPr="00B25419" w:rsidRDefault="009830F4" w:rsidP="009830F4">
      <w:pPr>
        <w:spacing w:before="6" w:line="160" w:lineRule="exact"/>
        <w:rPr>
          <w:sz w:val="17"/>
          <w:szCs w:val="17"/>
          <w:lang w:val="es-HN"/>
        </w:rPr>
      </w:pPr>
    </w:p>
    <w:p w14:paraId="5A56E4EE" w14:textId="14D76B91" w:rsidR="009830F4" w:rsidRPr="007C5783" w:rsidRDefault="009830F4" w:rsidP="00D12500">
      <w:pPr>
        <w:rPr>
          <w:rFonts w:ascii="Times New Roman" w:eastAsia="Times New Roman" w:hAnsi="Times New Roman" w:cs="Times New Roman"/>
          <w:b/>
          <w:bCs/>
          <w:i/>
          <w:color w:val="4F81BD" w:themeColor="accent1"/>
          <w:sz w:val="20"/>
          <w:szCs w:val="26"/>
        </w:rPr>
      </w:pPr>
      <w:r w:rsidRPr="007C5783">
        <w:rPr>
          <w:rFonts w:ascii="Times New Roman" w:eastAsia="Times New Roman" w:hAnsi="Times New Roman" w:cs="Times New Roman"/>
          <w:b/>
          <w:bCs/>
          <w:i/>
          <w:color w:val="4F81BD" w:themeColor="accent1"/>
          <w:sz w:val="20"/>
          <w:szCs w:val="26"/>
          <w:vertAlign w:val="superscript"/>
        </w:rPr>
        <w:t>1</w:t>
      </w:r>
      <w:r w:rsidR="00D12500" w:rsidRPr="00D12500">
        <w:rPr>
          <w:rFonts w:ascii="Times New Roman" w:eastAsia="Times New Roman" w:hAnsi="Times New Roman" w:cs="Times New Roman"/>
          <w:b/>
          <w:bCs/>
          <w:i/>
          <w:color w:val="4F81BD" w:themeColor="accent1"/>
          <w:sz w:val="20"/>
          <w:szCs w:val="26"/>
        </w:rPr>
        <w:t>Universidad Nacional Autónoma de Honduras, Tegucigalpa, Honduras</w:t>
      </w:r>
    </w:p>
    <w:p w14:paraId="52995F1E" w14:textId="77777777" w:rsidR="009830F4" w:rsidRDefault="009830F4" w:rsidP="009830F4">
      <w:pPr>
        <w:spacing w:line="200" w:lineRule="exact"/>
      </w:pPr>
    </w:p>
    <w:p w14:paraId="60E2E7E0" w14:textId="77777777" w:rsidR="009830F4" w:rsidRDefault="009830F4" w:rsidP="009830F4">
      <w:pPr>
        <w:spacing w:line="200" w:lineRule="exact"/>
      </w:pPr>
    </w:p>
    <w:p w14:paraId="4FBF9F8E" w14:textId="4F3202FF" w:rsidR="009830F4" w:rsidRPr="00C3130A" w:rsidRDefault="007C5783" w:rsidP="007C5783">
      <w:pPr>
        <w:ind w:right="8222"/>
        <w:jc w:val="both"/>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t>RESUMEN</w:t>
      </w:r>
    </w:p>
    <w:p w14:paraId="0558EF38" w14:textId="77777777" w:rsidR="009830F4" w:rsidRPr="00B25419" w:rsidRDefault="009830F4" w:rsidP="009830F4">
      <w:pPr>
        <w:spacing w:before="1" w:line="180" w:lineRule="exact"/>
        <w:rPr>
          <w:sz w:val="18"/>
          <w:szCs w:val="18"/>
          <w:lang w:val="es-HN"/>
        </w:rPr>
      </w:pPr>
    </w:p>
    <w:p w14:paraId="3FDDE8A6" w14:textId="77777777" w:rsidR="009830F4" w:rsidRPr="00007897" w:rsidRDefault="009830F4" w:rsidP="007C5783">
      <w:pPr>
        <w:spacing w:line="258" w:lineRule="auto"/>
        <w:ind w:right="995"/>
        <w:jc w:val="both"/>
        <w:rPr>
          <w:rFonts w:asciiTheme="minorHAnsi" w:eastAsiaTheme="minorEastAsia" w:hAnsiTheme="minorHAnsi" w:cstheme="minorBidi"/>
        </w:rPr>
      </w:pPr>
      <w:r w:rsidRPr="00007897">
        <w:rPr>
          <w:rFonts w:asciiTheme="minorHAnsi" w:eastAsiaTheme="minorEastAsia" w:hAnsiTheme="minorHAnsi" w:cstheme="minorBidi"/>
        </w:rPr>
        <w:t>El accidente cerebro vascular asociada al consumo de alcaloides se debe tener presente dentro de las posibilidades diagnósticas especialmente en aquellos pacientes jóvenes que no refieren antecedentes patológicos personales y que además refieren el uso de alcaloides como la cocaína debido a los altos índices de consumo de alucinógenos.</w:t>
      </w:r>
    </w:p>
    <w:p w14:paraId="3F32EFB6" w14:textId="77777777" w:rsidR="009830F4" w:rsidRPr="00007897" w:rsidRDefault="009830F4" w:rsidP="007C5783">
      <w:pPr>
        <w:spacing w:before="5" w:line="160" w:lineRule="exact"/>
        <w:rPr>
          <w:rFonts w:asciiTheme="minorHAnsi" w:eastAsiaTheme="minorEastAsia" w:hAnsiTheme="minorHAnsi" w:cstheme="minorBidi"/>
        </w:rPr>
      </w:pPr>
    </w:p>
    <w:p w14:paraId="2022F6EE" w14:textId="55122096" w:rsidR="009830F4" w:rsidRPr="00007897" w:rsidRDefault="009830F4" w:rsidP="007C5783">
      <w:pPr>
        <w:spacing w:line="258" w:lineRule="auto"/>
        <w:ind w:right="994"/>
        <w:jc w:val="both"/>
        <w:rPr>
          <w:rFonts w:asciiTheme="minorHAnsi" w:eastAsiaTheme="minorEastAsia" w:hAnsiTheme="minorHAnsi" w:cstheme="minorBidi"/>
        </w:rPr>
      </w:pPr>
      <w:r w:rsidRPr="00007897">
        <w:rPr>
          <w:rFonts w:asciiTheme="minorHAnsi" w:eastAsiaTheme="minorEastAsia" w:hAnsiTheme="minorHAnsi" w:cstheme="minorBidi"/>
        </w:rPr>
        <w:t xml:space="preserve">Se presenta el caso de un paciente masculino de 35 años, con historia de </w:t>
      </w:r>
      <w:r w:rsidR="000325F9" w:rsidRPr="00007897">
        <w:rPr>
          <w:rFonts w:asciiTheme="minorHAnsi" w:eastAsiaTheme="minorEastAsia" w:hAnsiTheme="minorHAnsi" w:cstheme="minorBidi"/>
        </w:rPr>
        <w:t>cefalea que</w:t>
      </w:r>
      <w:r w:rsidRPr="00007897">
        <w:rPr>
          <w:rFonts w:asciiTheme="minorHAnsi" w:eastAsiaTheme="minorEastAsia" w:hAnsiTheme="minorHAnsi" w:cstheme="minorBidi"/>
        </w:rPr>
        <w:t xml:space="preserve"> </w:t>
      </w:r>
      <w:proofErr w:type="spellStart"/>
      <w:r w:rsidRPr="00007897">
        <w:rPr>
          <w:rFonts w:asciiTheme="minorHAnsi" w:eastAsiaTheme="minorEastAsia" w:hAnsiTheme="minorHAnsi" w:cstheme="minorBidi"/>
        </w:rPr>
        <w:t>que</w:t>
      </w:r>
      <w:proofErr w:type="spellEnd"/>
      <w:r w:rsidRPr="00007897">
        <w:rPr>
          <w:rFonts w:asciiTheme="minorHAnsi" w:eastAsiaTheme="minorEastAsia" w:hAnsiTheme="minorHAnsi" w:cstheme="minorBidi"/>
        </w:rPr>
        <w:t xml:space="preserve"> niega antecedente de hipertensión arterial y como antecedente relevante refiere el consumo crónico de cocaína desde hace 2 años y negando antecedente de trauma, por lo cual se le realizó </w:t>
      </w:r>
      <w:proofErr w:type="spellStart"/>
      <w:r w:rsidRPr="00007897">
        <w:rPr>
          <w:rFonts w:asciiTheme="minorHAnsi" w:eastAsiaTheme="minorEastAsia" w:hAnsiTheme="minorHAnsi" w:cstheme="minorBidi"/>
        </w:rPr>
        <w:t>angiotomografía</w:t>
      </w:r>
      <w:proofErr w:type="spellEnd"/>
      <w:r w:rsidRPr="00007897">
        <w:rPr>
          <w:rFonts w:asciiTheme="minorHAnsi" w:eastAsiaTheme="minorEastAsia" w:hAnsiTheme="minorHAnsi" w:cstheme="minorBidi"/>
        </w:rPr>
        <w:t xml:space="preserve"> cerebral identificando focos múltiples de hemorragia intraparenquimatosa de ambos lóbulos frontales y datos de trombosis del seno </w:t>
      </w:r>
      <w:proofErr w:type="spellStart"/>
      <w:r w:rsidRPr="00007897">
        <w:rPr>
          <w:rFonts w:asciiTheme="minorHAnsi" w:eastAsiaTheme="minorEastAsia" w:hAnsiTheme="minorHAnsi" w:cstheme="minorBidi"/>
        </w:rPr>
        <w:t>dural</w:t>
      </w:r>
      <w:proofErr w:type="spellEnd"/>
      <w:r w:rsidRPr="00007897">
        <w:rPr>
          <w:rFonts w:asciiTheme="minorHAnsi" w:eastAsiaTheme="minorEastAsia" w:hAnsiTheme="minorHAnsi" w:cstheme="minorBidi"/>
        </w:rPr>
        <w:t>.</w:t>
      </w:r>
    </w:p>
    <w:p w14:paraId="7867CBD1" w14:textId="77777777" w:rsidR="009830F4" w:rsidRPr="00007897" w:rsidRDefault="009830F4" w:rsidP="007C5783">
      <w:pPr>
        <w:spacing w:line="160" w:lineRule="exact"/>
        <w:rPr>
          <w:rFonts w:asciiTheme="minorHAnsi" w:eastAsiaTheme="minorEastAsia" w:hAnsiTheme="minorHAnsi" w:cstheme="minorBidi"/>
        </w:rPr>
      </w:pPr>
    </w:p>
    <w:p w14:paraId="41031C71" w14:textId="77777777" w:rsidR="009830F4" w:rsidRPr="00007897" w:rsidRDefault="009830F4" w:rsidP="007C5783">
      <w:pPr>
        <w:ind w:right="2939"/>
        <w:jc w:val="both"/>
        <w:rPr>
          <w:rFonts w:asciiTheme="minorHAnsi" w:eastAsiaTheme="minorEastAsia" w:hAnsiTheme="minorHAnsi" w:cstheme="minorBidi"/>
        </w:rPr>
      </w:pPr>
      <w:r w:rsidRPr="00007897">
        <w:rPr>
          <w:rFonts w:asciiTheme="minorHAnsi" w:eastAsiaTheme="minorEastAsia" w:hAnsiTheme="minorHAnsi" w:cstheme="minorBidi"/>
        </w:rPr>
        <w:t>Palabras clave: Ictus hemorrágico, cocaína y hemorragia cerebral.</w:t>
      </w:r>
    </w:p>
    <w:p w14:paraId="2F66FD48" w14:textId="77777777" w:rsidR="009830F4" w:rsidRPr="00007897" w:rsidRDefault="009830F4" w:rsidP="009830F4">
      <w:pPr>
        <w:spacing w:line="200" w:lineRule="exact"/>
        <w:rPr>
          <w:rFonts w:asciiTheme="minorHAnsi" w:eastAsiaTheme="minorEastAsia" w:hAnsiTheme="minorHAnsi" w:cstheme="minorBidi"/>
        </w:rPr>
      </w:pPr>
    </w:p>
    <w:p w14:paraId="79617BA4" w14:textId="77777777" w:rsidR="009830F4" w:rsidRPr="00007897" w:rsidRDefault="009830F4" w:rsidP="009830F4">
      <w:pPr>
        <w:spacing w:before="13" w:line="200" w:lineRule="exact"/>
        <w:rPr>
          <w:rFonts w:asciiTheme="minorHAnsi" w:eastAsiaTheme="minorEastAsia" w:hAnsiTheme="minorHAnsi" w:cstheme="minorBidi"/>
        </w:rPr>
      </w:pPr>
    </w:p>
    <w:p w14:paraId="2BD13AC4" w14:textId="28E07AF6" w:rsidR="009830F4" w:rsidRPr="00033B62" w:rsidRDefault="007C5783" w:rsidP="00C3130A">
      <w:pPr>
        <w:ind w:right="8222"/>
        <w:jc w:val="both"/>
        <w:rPr>
          <w:rFonts w:asciiTheme="minorHAnsi" w:eastAsiaTheme="majorEastAsia" w:hAnsiTheme="minorHAnsi" w:cstheme="minorHAnsi"/>
          <w:b/>
          <w:bCs/>
          <w:color w:val="365F91" w:themeColor="accent1" w:themeShade="BF"/>
          <w:sz w:val="28"/>
          <w:szCs w:val="28"/>
          <w:lang w:val="en-US"/>
        </w:rPr>
      </w:pPr>
      <w:r w:rsidRPr="00033B62">
        <w:rPr>
          <w:rFonts w:asciiTheme="minorHAnsi" w:eastAsiaTheme="majorEastAsia" w:hAnsiTheme="minorHAnsi" w:cstheme="minorHAnsi"/>
          <w:b/>
          <w:bCs/>
          <w:color w:val="365F91" w:themeColor="accent1" w:themeShade="BF"/>
          <w:sz w:val="28"/>
          <w:szCs w:val="28"/>
          <w:lang w:val="en-US"/>
        </w:rPr>
        <w:t>ABSTRACT</w:t>
      </w:r>
    </w:p>
    <w:p w14:paraId="14C8322B" w14:textId="77777777" w:rsidR="009830F4" w:rsidRPr="009830F4" w:rsidRDefault="009830F4" w:rsidP="009830F4">
      <w:pPr>
        <w:spacing w:before="1" w:line="180" w:lineRule="exact"/>
        <w:rPr>
          <w:sz w:val="18"/>
          <w:szCs w:val="18"/>
          <w:lang w:val="en-US"/>
        </w:rPr>
      </w:pPr>
    </w:p>
    <w:p w14:paraId="5F39619A" w14:textId="77777777" w:rsidR="009830F4" w:rsidRPr="007C5783" w:rsidRDefault="009830F4" w:rsidP="007C5783">
      <w:pPr>
        <w:spacing w:line="258" w:lineRule="auto"/>
        <w:ind w:right="995"/>
        <w:jc w:val="both"/>
        <w:rPr>
          <w:rFonts w:asciiTheme="minorHAnsi" w:eastAsiaTheme="minorEastAsia" w:hAnsiTheme="minorHAnsi" w:cstheme="minorBidi"/>
          <w:lang w:val="en-US"/>
        </w:rPr>
      </w:pPr>
      <w:r w:rsidRPr="007C5783">
        <w:rPr>
          <w:rFonts w:asciiTheme="minorHAnsi" w:eastAsiaTheme="minorEastAsia" w:hAnsiTheme="minorHAnsi" w:cstheme="minorBidi"/>
          <w:lang w:val="en-US"/>
        </w:rPr>
        <w:t>Stroke associated with alkaloid use should be considered among the diagnostic possibilities, especially in young patients who do not report personal pathological history and who also report the use of alkaloids such as cocaine due to the high rates of hallucinogen use.</w:t>
      </w:r>
    </w:p>
    <w:p w14:paraId="376243D0" w14:textId="77777777" w:rsidR="009830F4" w:rsidRPr="007C5783" w:rsidRDefault="009830F4" w:rsidP="007C5783">
      <w:pPr>
        <w:spacing w:line="258" w:lineRule="auto"/>
        <w:ind w:right="995"/>
        <w:jc w:val="both"/>
        <w:rPr>
          <w:rFonts w:asciiTheme="minorHAnsi" w:eastAsiaTheme="minorEastAsia" w:hAnsiTheme="minorHAnsi" w:cstheme="minorBidi"/>
          <w:lang w:val="en-US"/>
        </w:rPr>
      </w:pPr>
    </w:p>
    <w:p w14:paraId="4FD0477F" w14:textId="77777777" w:rsidR="009830F4" w:rsidRPr="007C5783" w:rsidRDefault="009830F4" w:rsidP="007C5783">
      <w:pPr>
        <w:spacing w:line="258" w:lineRule="auto"/>
        <w:ind w:right="995"/>
        <w:jc w:val="both"/>
        <w:rPr>
          <w:rFonts w:asciiTheme="minorHAnsi" w:eastAsiaTheme="minorEastAsia" w:hAnsiTheme="minorHAnsi" w:cstheme="minorBidi"/>
          <w:lang w:val="en-US"/>
        </w:rPr>
      </w:pPr>
      <w:r w:rsidRPr="007C5783">
        <w:rPr>
          <w:rFonts w:asciiTheme="minorHAnsi" w:eastAsiaTheme="minorEastAsia" w:hAnsiTheme="minorHAnsi" w:cstheme="minorBidi"/>
          <w:lang w:val="en-US"/>
        </w:rPr>
        <w:t xml:space="preserve">We present the case of a 35-year-old male patient with a history of headache who denies a history of arterial hypertension and, as a relevant history, refers to chronic cocaine use for 2 years and denies a history of trauma. Therefore, a cerebral </w:t>
      </w:r>
      <w:proofErr w:type="spellStart"/>
      <w:r w:rsidRPr="007C5783">
        <w:rPr>
          <w:rFonts w:asciiTheme="minorHAnsi" w:eastAsiaTheme="minorEastAsia" w:hAnsiTheme="minorHAnsi" w:cstheme="minorBidi"/>
          <w:lang w:val="en-US"/>
        </w:rPr>
        <w:t>angiotomography</w:t>
      </w:r>
      <w:proofErr w:type="spellEnd"/>
      <w:r w:rsidRPr="007C5783">
        <w:rPr>
          <w:rFonts w:asciiTheme="minorHAnsi" w:eastAsiaTheme="minorEastAsia" w:hAnsiTheme="minorHAnsi" w:cstheme="minorBidi"/>
          <w:lang w:val="en-US"/>
        </w:rPr>
        <w:t xml:space="preserve"> was performed, identifying multiple foci of intraparenchymal hemorrhage in both frontal lobes and signs of dural sinus thrombosis.</w:t>
      </w:r>
    </w:p>
    <w:p w14:paraId="0453B12D" w14:textId="77777777" w:rsidR="009830F4" w:rsidRPr="007C5783" w:rsidRDefault="009830F4" w:rsidP="007C5783">
      <w:pPr>
        <w:spacing w:line="258" w:lineRule="auto"/>
        <w:ind w:right="995"/>
        <w:jc w:val="both"/>
        <w:rPr>
          <w:rFonts w:asciiTheme="minorHAnsi" w:eastAsiaTheme="minorEastAsia" w:hAnsiTheme="minorHAnsi" w:cstheme="minorBidi"/>
          <w:lang w:val="en-US"/>
        </w:rPr>
      </w:pPr>
    </w:p>
    <w:p w14:paraId="19C0BD41" w14:textId="77777777" w:rsidR="009830F4" w:rsidRPr="007C5783" w:rsidRDefault="009830F4" w:rsidP="007C5783">
      <w:pPr>
        <w:spacing w:line="258" w:lineRule="auto"/>
        <w:ind w:right="995"/>
        <w:jc w:val="both"/>
        <w:rPr>
          <w:rFonts w:asciiTheme="minorHAnsi" w:eastAsiaTheme="minorEastAsia" w:hAnsiTheme="minorHAnsi" w:cstheme="minorBidi"/>
          <w:lang w:val="en-US"/>
        </w:rPr>
      </w:pPr>
      <w:r w:rsidRPr="007C5783">
        <w:rPr>
          <w:rFonts w:asciiTheme="minorHAnsi" w:eastAsiaTheme="minorEastAsia" w:hAnsiTheme="minorHAnsi" w:cstheme="minorBidi"/>
          <w:lang w:val="en-US"/>
        </w:rPr>
        <w:t>Keywords: Hemorrhagic stroke, cocaine and cerebral hemorrhage.</w:t>
      </w:r>
    </w:p>
    <w:p w14:paraId="1229190B" w14:textId="77777777" w:rsidR="009830F4" w:rsidRPr="009830F4" w:rsidRDefault="009830F4" w:rsidP="007C5783">
      <w:pPr>
        <w:spacing w:line="200" w:lineRule="exact"/>
        <w:rPr>
          <w:lang w:val="en-US"/>
        </w:rPr>
      </w:pPr>
    </w:p>
    <w:p w14:paraId="4DB277D6" w14:textId="77777777" w:rsidR="009830F4" w:rsidRPr="009830F4" w:rsidRDefault="009830F4" w:rsidP="009830F4">
      <w:pPr>
        <w:spacing w:line="200" w:lineRule="exact"/>
        <w:rPr>
          <w:lang w:val="en-US"/>
        </w:rPr>
      </w:pPr>
    </w:p>
    <w:p w14:paraId="799C579B" w14:textId="309E019B" w:rsidR="009830F4" w:rsidRPr="00C3130A" w:rsidRDefault="007C5783" w:rsidP="00C3130A">
      <w:pPr>
        <w:ind w:right="1"/>
        <w:jc w:val="both"/>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t>INTRODUCCIÓN</w:t>
      </w:r>
    </w:p>
    <w:p w14:paraId="7DD9C253" w14:textId="77777777" w:rsidR="009830F4" w:rsidRPr="00B25419" w:rsidRDefault="009830F4" w:rsidP="007C5783">
      <w:pPr>
        <w:spacing w:before="1" w:line="180" w:lineRule="exact"/>
        <w:ind w:firstLine="102"/>
        <w:rPr>
          <w:sz w:val="18"/>
          <w:szCs w:val="18"/>
          <w:lang w:val="es-HN"/>
        </w:rPr>
      </w:pPr>
    </w:p>
    <w:p w14:paraId="2600F572" w14:textId="71806835" w:rsidR="009830F4" w:rsidRPr="00007897" w:rsidRDefault="009830F4" w:rsidP="007C5783">
      <w:pPr>
        <w:spacing w:line="258" w:lineRule="auto"/>
        <w:ind w:right="997"/>
        <w:jc w:val="both"/>
        <w:rPr>
          <w:rFonts w:asciiTheme="minorHAnsi" w:eastAsiaTheme="minorEastAsia" w:hAnsiTheme="minorHAnsi" w:cstheme="minorBidi"/>
        </w:rPr>
        <w:sectPr w:rsidR="009830F4" w:rsidRPr="00007897" w:rsidSect="009830F4">
          <w:footerReference w:type="default" r:id="rId7"/>
          <w:pgSz w:w="13100" w:h="17740"/>
          <w:pgMar w:top="1680" w:right="1860" w:bottom="280" w:left="1600" w:header="720" w:footer="1000" w:gutter="0"/>
          <w:cols w:space="720"/>
        </w:sectPr>
      </w:pPr>
      <w:r w:rsidRPr="00007897">
        <w:rPr>
          <w:rFonts w:asciiTheme="minorHAnsi" w:eastAsiaTheme="minorEastAsia" w:hAnsiTheme="minorHAnsi" w:cstheme="minorBidi"/>
        </w:rPr>
        <w:t xml:space="preserve">El consumo de drogas es una de las causas de hemorragia intraparenquimatosa en el adulto joven, siendo la cocaína la principal de estas, sin </w:t>
      </w:r>
      <w:r w:rsidR="00007897" w:rsidRPr="00007897">
        <w:rPr>
          <w:rFonts w:asciiTheme="minorHAnsi" w:eastAsiaTheme="minorEastAsia" w:hAnsiTheme="minorHAnsi" w:cstheme="minorBidi"/>
        </w:rPr>
        <w:t>embargo,</w:t>
      </w:r>
      <w:r w:rsidRPr="00007897">
        <w:rPr>
          <w:rFonts w:asciiTheme="minorHAnsi" w:eastAsiaTheme="minorEastAsia" w:hAnsiTheme="minorHAnsi" w:cstheme="minorBidi"/>
        </w:rPr>
        <w:t xml:space="preserve"> también puede estar asociado a otras causas incluyendo trauma, malformaciones vasculares, aneurismas, hipertensión arterial, tumores y coagulopatías.</w:t>
      </w:r>
    </w:p>
    <w:p w14:paraId="0DD4E3AB" w14:textId="77777777" w:rsidR="009830F4" w:rsidRPr="00C3130A" w:rsidRDefault="009830F4" w:rsidP="00C3130A">
      <w:pPr>
        <w:ind w:left="-567" w:right="73"/>
        <w:jc w:val="both"/>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lastRenderedPageBreak/>
        <w:t>Historia Clínica</w:t>
      </w:r>
    </w:p>
    <w:p w14:paraId="3B2ED503" w14:textId="77777777" w:rsidR="009830F4" w:rsidRPr="00B25419" w:rsidRDefault="009830F4" w:rsidP="009830F4">
      <w:pPr>
        <w:spacing w:before="4" w:line="180" w:lineRule="exact"/>
        <w:rPr>
          <w:sz w:val="18"/>
          <w:szCs w:val="18"/>
          <w:lang w:val="es-HN"/>
        </w:rPr>
      </w:pPr>
    </w:p>
    <w:p w14:paraId="0EAEAF48" w14:textId="77777777" w:rsidR="009830F4" w:rsidRPr="00007897" w:rsidRDefault="009830F4" w:rsidP="007C5783">
      <w:pPr>
        <w:spacing w:line="258" w:lineRule="auto"/>
        <w:ind w:left="-567" w:right="74"/>
        <w:jc w:val="both"/>
        <w:rPr>
          <w:rFonts w:asciiTheme="minorHAnsi" w:eastAsiaTheme="minorEastAsia" w:hAnsiTheme="minorHAnsi" w:cstheme="minorBidi"/>
        </w:rPr>
      </w:pPr>
      <w:r w:rsidRPr="00007897">
        <w:rPr>
          <w:rFonts w:asciiTheme="minorHAnsi" w:eastAsiaTheme="minorEastAsia" w:hAnsiTheme="minorHAnsi" w:cstheme="minorBidi"/>
        </w:rPr>
        <w:t xml:space="preserve">Masculino de 35 años, se presenta a la emergencia del servicio de medicina interna con historia de cefalea de 2 días de evolución, pulsátil, </w:t>
      </w:r>
      <w:proofErr w:type="spellStart"/>
      <w:r w:rsidRPr="00007897">
        <w:rPr>
          <w:rFonts w:asciiTheme="minorHAnsi" w:eastAsiaTheme="minorEastAsia" w:hAnsiTheme="minorHAnsi" w:cstheme="minorBidi"/>
        </w:rPr>
        <w:t>holocraneana</w:t>
      </w:r>
      <w:proofErr w:type="spellEnd"/>
      <w:r w:rsidRPr="00007897">
        <w:rPr>
          <w:rFonts w:asciiTheme="minorHAnsi" w:eastAsiaTheme="minorEastAsia" w:hAnsiTheme="minorHAnsi" w:cstheme="minorBidi"/>
        </w:rPr>
        <w:t>, progresiva, atenúa con analgésicos, sin predominio de horario, con posterior episodio convulsivo tónico- clónico de un minuto de duración, con sialorrea, relajación de esfínteres y pérdida de la consciencia. Refiere antecedente de cardiopatía isquémica por consumo de cocaína, niega traumas e hipertensión arterial.</w:t>
      </w:r>
    </w:p>
    <w:p w14:paraId="5E8712CE" w14:textId="77777777" w:rsidR="009830F4" w:rsidRPr="00007897" w:rsidRDefault="009830F4" w:rsidP="007C5783">
      <w:pPr>
        <w:spacing w:before="10" w:line="140" w:lineRule="exact"/>
        <w:ind w:left="-567"/>
        <w:rPr>
          <w:rFonts w:asciiTheme="minorHAnsi" w:eastAsiaTheme="minorEastAsia" w:hAnsiTheme="minorHAnsi" w:cstheme="minorBidi"/>
        </w:rPr>
      </w:pPr>
    </w:p>
    <w:p w14:paraId="7EE944C5" w14:textId="77777777" w:rsidR="009830F4" w:rsidRPr="00007897" w:rsidRDefault="009830F4" w:rsidP="007C5783">
      <w:pPr>
        <w:ind w:left="-567" w:right="6346"/>
        <w:jc w:val="both"/>
        <w:rPr>
          <w:rFonts w:asciiTheme="minorHAnsi" w:eastAsiaTheme="minorEastAsia" w:hAnsiTheme="minorHAnsi" w:cstheme="minorBidi"/>
        </w:rPr>
      </w:pPr>
      <w:r w:rsidRPr="00007897">
        <w:rPr>
          <w:rFonts w:asciiTheme="minorHAnsi" w:eastAsiaTheme="minorEastAsia" w:hAnsiTheme="minorHAnsi" w:cstheme="minorBidi"/>
        </w:rPr>
        <w:t>Hallazgos de Imagen:</w:t>
      </w:r>
    </w:p>
    <w:p w14:paraId="560034E6" w14:textId="77777777" w:rsidR="009830F4" w:rsidRPr="00007897" w:rsidRDefault="009830F4" w:rsidP="007C5783">
      <w:pPr>
        <w:spacing w:before="1" w:line="180" w:lineRule="exact"/>
        <w:ind w:left="-567"/>
        <w:rPr>
          <w:rFonts w:asciiTheme="minorHAnsi" w:eastAsiaTheme="minorEastAsia" w:hAnsiTheme="minorHAnsi" w:cstheme="minorBidi"/>
        </w:rPr>
      </w:pPr>
    </w:p>
    <w:p w14:paraId="60FA34CB" w14:textId="77777777" w:rsidR="009830F4" w:rsidRPr="00007897" w:rsidRDefault="009830F4" w:rsidP="007C5783">
      <w:pPr>
        <w:spacing w:line="258" w:lineRule="auto"/>
        <w:ind w:left="-567" w:right="72"/>
        <w:jc w:val="both"/>
        <w:rPr>
          <w:rFonts w:asciiTheme="minorHAnsi" w:eastAsiaTheme="minorEastAsia" w:hAnsiTheme="minorHAnsi" w:cstheme="minorBidi"/>
        </w:rPr>
      </w:pPr>
      <w:r w:rsidRPr="00007897">
        <w:rPr>
          <w:rFonts w:asciiTheme="minorHAnsi" w:eastAsiaTheme="minorEastAsia" w:hAnsiTheme="minorHAnsi" w:cstheme="minorBidi"/>
        </w:rPr>
        <w:t xml:space="preserve">La </w:t>
      </w:r>
      <w:proofErr w:type="spellStart"/>
      <w:r w:rsidRPr="00007897">
        <w:rPr>
          <w:rFonts w:asciiTheme="minorHAnsi" w:eastAsiaTheme="minorEastAsia" w:hAnsiTheme="minorHAnsi" w:cstheme="minorBidi"/>
        </w:rPr>
        <w:t>angiotomografía</w:t>
      </w:r>
      <w:proofErr w:type="spellEnd"/>
      <w:r w:rsidRPr="00007897">
        <w:rPr>
          <w:rFonts w:asciiTheme="minorHAnsi" w:eastAsiaTheme="minorEastAsia" w:hAnsiTheme="minorHAnsi" w:cstheme="minorBidi"/>
        </w:rPr>
        <w:t xml:space="preserve"> cerebral evidencia la presencia de múltiples áreas hiperdensas de distribución difusa, bilateral que compromete ambos lóbulos frontales, compatibles con hemorragias intraparenquimatosas de focos múltiples, asociado a edema perilesional (</w:t>
      </w:r>
      <w:proofErr w:type="spellStart"/>
      <w:r w:rsidRPr="00007897">
        <w:rPr>
          <w:rFonts w:asciiTheme="minorHAnsi" w:eastAsiaTheme="minorEastAsia" w:hAnsiTheme="minorHAnsi" w:cstheme="minorBidi"/>
        </w:rPr>
        <w:t>Fig</w:t>
      </w:r>
      <w:proofErr w:type="spellEnd"/>
      <w:r w:rsidRPr="00007897">
        <w:rPr>
          <w:rFonts w:asciiTheme="minorHAnsi" w:eastAsiaTheme="minorEastAsia" w:hAnsiTheme="minorHAnsi" w:cstheme="minorBidi"/>
        </w:rPr>
        <w:t xml:space="preserve"> 1 y 2), además se identificó la presencia de signo del delta vacío secundario a trombosis venosa </w:t>
      </w:r>
      <w:proofErr w:type="spellStart"/>
      <w:r w:rsidRPr="00007897">
        <w:rPr>
          <w:rFonts w:asciiTheme="minorHAnsi" w:eastAsiaTheme="minorEastAsia" w:hAnsiTheme="minorHAnsi" w:cstheme="minorBidi"/>
        </w:rPr>
        <w:t>dural</w:t>
      </w:r>
      <w:proofErr w:type="spellEnd"/>
      <w:r w:rsidRPr="00007897">
        <w:rPr>
          <w:rFonts w:asciiTheme="minorHAnsi" w:eastAsiaTheme="minorEastAsia" w:hAnsiTheme="minorHAnsi" w:cstheme="minorBidi"/>
        </w:rPr>
        <w:t xml:space="preserve"> que compromete el seno sagital superior, con extensión a la confluencia de los senos, seno transverso derecho, así como el seno yugular y vena yugular ipsilateral (</w:t>
      </w:r>
      <w:proofErr w:type="spellStart"/>
      <w:r w:rsidRPr="00007897">
        <w:rPr>
          <w:rFonts w:asciiTheme="minorHAnsi" w:eastAsiaTheme="minorEastAsia" w:hAnsiTheme="minorHAnsi" w:cstheme="minorBidi"/>
        </w:rPr>
        <w:t>Fig</w:t>
      </w:r>
      <w:proofErr w:type="spellEnd"/>
      <w:r w:rsidRPr="00007897">
        <w:rPr>
          <w:rFonts w:asciiTheme="minorHAnsi" w:eastAsiaTheme="minorEastAsia" w:hAnsiTheme="minorHAnsi" w:cstheme="minorBidi"/>
        </w:rPr>
        <w:t xml:space="preserve"> 3 y 4).</w:t>
      </w:r>
    </w:p>
    <w:p w14:paraId="79C83665" w14:textId="77777777" w:rsidR="009830F4" w:rsidRPr="00B25419" w:rsidRDefault="009830F4" w:rsidP="009830F4">
      <w:pPr>
        <w:spacing w:before="10" w:line="140" w:lineRule="exact"/>
        <w:rPr>
          <w:sz w:val="15"/>
          <w:szCs w:val="15"/>
          <w:lang w:val="es-HN"/>
        </w:rPr>
      </w:pPr>
    </w:p>
    <w:p w14:paraId="10DBBB0D" w14:textId="635C1733" w:rsidR="009830F4" w:rsidRPr="00C3130A" w:rsidRDefault="007C5783" w:rsidP="007C5783">
      <w:pPr>
        <w:ind w:left="-567" w:right="7160"/>
        <w:jc w:val="both"/>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t>DISCUSIÓN</w:t>
      </w:r>
    </w:p>
    <w:p w14:paraId="58A3AD06" w14:textId="77777777" w:rsidR="009830F4" w:rsidRPr="00B25419" w:rsidRDefault="009830F4" w:rsidP="009830F4">
      <w:pPr>
        <w:spacing w:before="4" w:line="180" w:lineRule="exact"/>
        <w:rPr>
          <w:sz w:val="18"/>
          <w:szCs w:val="18"/>
          <w:lang w:val="es-HN"/>
        </w:rPr>
      </w:pPr>
    </w:p>
    <w:p w14:paraId="1A31AE14" w14:textId="77777777" w:rsidR="009830F4" w:rsidRPr="00007897" w:rsidRDefault="009830F4" w:rsidP="007C5783">
      <w:pPr>
        <w:spacing w:line="254" w:lineRule="auto"/>
        <w:ind w:left="-567" w:right="74"/>
        <w:jc w:val="both"/>
        <w:rPr>
          <w:rFonts w:asciiTheme="minorHAnsi" w:eastAsiaTheme="minorEastAsia" w:hAnsiTheme="minorHAnsi" w:cstheme="minorBidi"/>
        </w:rPr>
      </w:pPr>
      <w:r w:rsidRPr="00007897">
        <w:rPr>
          <w:rFonts w:asciiTheme="minorHAnsi" w:eastAsiaTheme="minorEastAsia" w:hAnsiTheme="minorHAnsi" w:cstheme="minorBidi"/>
        </w:rPr>
        <w:t>La hemorragia intracerebral en el adulto joven plantea una amplia gama de posibilidades etiológicas1. La hipertensión arterial es la causa más común de hemorragia intracerebral espontánea en un 50-60% de los casos.</w:t>
      </w:r>
    </w:p>
    <w:p w14:paraId="7EEFE225" w14:textId="77777777" w:rsidR="009830F4" w:rsidRPr="00007897" w:rsidRDefault="009830F4" w:rsidP="007C5783">
      <w:pPr>
        <w:spacing w:before="9" w:line="160" w:lineRule="exact"/>
        <w:ind w:left="-567"/>
        <w:rPr>
          <w:rFonts w:asciiTheme="minorHAnsi" w:eastAsiaTheme="minorEastAsia" w:hAnsiTheme="minorHAnsi" w:cstheme="minorBidi"/>
        </w:rPr>
      </w:pPr>
    </w:p>
    <w:p w14:paraId="53C39E13" w14:textId="432516FF" w:rsidR="009830F4" w:rsidRPr="00007897" w:rsidRDefault="009830F4" w:rsidP="007C5783">
      <w:pPr>
        <w:spacing w:line="257" w:lineRule="auto"/>
        <w:ind w:left="-567" w:right="77"/>
        <w:jc w:val="both"/>
        <w:rPr>
          <w:rFonts w:asciiTheme="minorHAnsi" w:eastAsiaTheme="minorEastAsia" w:hAnsiTheme="minorHAnsi" w:cstheme="minorBidi"/>
        </w:rPr>
      </w:pPr>
      <w:r w:rsidRPr="00007897">
        <w:rPr>
          <w:rFonts w:asciiTheme="minorHAnsi" w:eastAsiaTheme="minorEastAsia" w:hAnsiTheme="minorHAnsi" w:cstheme="minorBidi"/>
        </w:rPr>
        <w:t xml:space="preserve">Las malformaciones vasculares explican un 5% de los hematomas intracerebrales. Sin </w:t>
      </w:r>
      <w:r w:rsidR="00007897" w:rsidRPr="00007897">
        <w:rPr>
          <w:rFonts w:asciiTheme="minorHAnsi" w:eastAsiaTheme="minorEastAsia" w:hAnsiTheme="minorHAnsi" w:cstheme="minorBidi"/>
        </w:rPr>
        <w:t>embargo,</w:t>
      </w:r>
      <w:r w:rsidRPr="00007897">
        <w:rPr>
          <w:rFonts w:asciiTheme="minorHAnsi" w:eastAsiaTheme="minorEastAsia" w:hAnsiTheme="minorHAnsi" w:cstheme="minorBidi"/>
        </w:rPr>
        <w:t xml:space="preserve"> son la causa más frecuente de hemorragia cerebral en el adulto joven y representan entre el 20 y 40% de los casos.</w:t>
      </w:r>
    </w:p>
    <w:p w14:paraId="129429D4" w14:textId="77777777" w:rsidR="009830F4" w:rsidRPr="00007897" w:rsidRDefault="009830F4" w:rsidP="007C5783">
      <w:pPr>
        <w:spacing w:before="6" w:line="160" w:lineRule="exact"/>
        <w:ind w:left="-567"/>
        <w:rPr>
          <w:rFonts w:asciiTheme="minorHAnsi" w:eastAsiaTheme="minorEastAsia" w:hAnsiTheme="minorHAnsi" w:cstheme="minorBidi"/>
        </w:rPr>
      </w:pPr>
    </w:p>
    <w:p w14:paraId="59156535" w14:textId="77777777" w:rsidR="009830F4" w:rsidRPr="00007897" w:rsidRDefault="009830F4" w:rsidP="007C5783">
      <w:pPr>
        <w:spacing w:line="255" w:lineRule="auto"/>
        <w:ind w:left="-567" w:right="77"/>
        <w:jc w:val="both"/>
        <w:rPr>
          <w:rFonts w:asciiTheme="minorHAnsi" w:eastAsiaTheme="minorEastAsia" w:hAnsiTheme="minorHAnsi" w:cstheme="minorBidi"/>
        </w:rPr>
      </w:pPr>
      <w:r w:rsidRPr="00007897">
        <w:rPr>
          <w:rFonts w:asciiTheme="minorHAnsi" w:eastAsiaTheme="minorEastAsia" w:hAnsiTheme="minorHAnsi" w:cstheme="minorBidi"/>
        </w:rPr>
        <w:t xml:space="preserve">Las principales complicaciones del abuso de </w:t>
      </w:r>
      <w:proofErr w:type="spellStart"/>
      <w:r w:rsidRPr="00007897">
        <w:rPr>
          <w:rFonts w:asciiTheme="minorHAnsi" w:eastAsiaTheme="minorEastAsia" w:hAnsiTheme="minorHAnsi" w:cstheme="minorBidi"/>
        </w:rPr>
        <w:t>cocaina</w:t>
      </w:r>
      <w:proofErr w:type="spellEnd"/>
      <w:r w:rsidRPr="00007897">
        <w:rPr>
          <w:rFonts w:asciiTheme="minorHAnsi" w:eastAsiaTheme="minorEastAsia" w:hAnsiTheme="minorHAnsi" w:cstheme="minorBidi"/>
        </w:rPr>
        <w:t xml:space="preserve"> son la isquemia, el infarto cerebral y la hemorragia subaracnoidea e intraparenquimatosa.</w:t>
      </w:r>
    </w:p>
    <w:p w14:paraId="24D88F20" w14:textId="77777777" w:rsidR="009830F4" w:rsidRPr="00B25419" w:rsidRDefault="009830F4" w:rsidP="009830F4">
      <w:pPr>
        <w:spacing w:line="200" w:lineRule="exact"/>
        <w:rPr>
          <w:lang w:val="es-HN"/>
        </w:rPr>
      </w:pPr>
    </w:p>
    <w:p w14:paraId="22F7958B" w14:textId="77777777" w:rsidR="009830F4" w:rsidRPr="00B25419" w:rsidRDefault="009830F4" w:rsidP="009830F4">
      <w:pPr>
        <w:spacing w:line="200" w:lineRule="exact"/>
        <w:rPr>
          <w:lang w:val="es-HN"/>
        </w:rPr>
      </w:pPr>
    </w:p>
    <w:p w14:paraId="0F30C3F3" w14:textId="77777777" w:rsidR="009830F4" w:rsidRPr="00B25419" w:rsidRDefault="009830F4" w:rsidP="009830F4">
      <w:pPr>
        <w:spacing w:line="200" w:lineRule="exact"/>
        <w:rPr>
          <w:lang w:val="es-HN"/>
        </w:rPr>
      </w:pPr>
    </w:p>
    <w:p w14:paraId="5CD9FB92" w14:textId="77777777" w:rsidR="009830F4" w:rsidRPr="00B25419" w:rsidRDefault="009830F4" w:rsidP="009830F4">
      <w:pPr>
        <w:spacing w:line="200" w:lineRule="exact"/>
        <w:rPr>
          <w:lang w:val="es-HN"/>
        </w:rPr>
      </w:pPr>
    </w:p>
    <w:p w14:paraId="3194F605" w14:textId="77777777" w:rsidR="009830F4" w:rsidRPr="00B25419" w:rsidRDefault="009830F4" w:rsidP="009830F4">
      <w:pPr>
        <w:spacing w:before="10" w:line="220" w:lineRule="exact"/>
        <w:rPr>
          <w:lang w:val="es-HN"/>
        </w:rPr>
      </w:pPr>
    </w:p>
    <w:p w14:paraId="3AAED976" w14:textId="6A913765" w:rsidR="009830F4" w:rsidRDefault="009830F4" w:rsidP="009830F4">
      <w:pPr>
        <w:ind w:left="101"/>
      </w:pPr>
      <w:r>
        <w:rPr>
          <w:noProof/>
        </w:rPr>
        <w:drawing>
          <wp:anchor distT="0" distB="0" distL="114300" distR="114300" simplePos="0" relativeHeight="251667456" behindDoc="1" locked="0" layoutInCell="1" allowOverlap="1" wp14:anchorId="0DD72166" wp14:editId="5F2F28AB">
            <wp:simplePos x="0" y="0"/>
            <wp:positionH relativeFrom="page">
              <wp:posOffset>2912110</wp:posOffset>
            </wp:positionH>
            <wp:positionV relativeFrom="paragraph">
              <wp:posOffset>1905</wp:posOffset>
            </wp:positionV>
            <wp:extent cx="1829435" cy="1915795"/>
            <wp:effectExtent l="0" t="0" r="0" b="8255"/>
            <wp:wrapNone/>
            <wp:docPr id="700299801" name="Imagen 5" descr="Imagen en blanco y negro de la lu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99801" name="Imagen 5" descr="Imagen en blanco y negro de la luna&#10;&#10;Descripción generada automáticamente con confianza b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435" cy="1915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1128F796" wp14:editId="15F12543">
            <wp:simplePos x="0" y="0"/>
            <wp:positionH relativeFrom="page">
              <wp:posOffset>4780280</wp:posOffset>
            </wp:positionH>
            <wp:positionV relativeFrom="paragraph">
              <wp:posOffset>0</wp:posOffset>
            </wp:positionV>
            <wp:extent cx="1580515" cy="1917700"/>
            <wp:effectExtent l="0" t="0" r="635" b="6350"/>
            <wp:wrapNone/>
            <wp:docPr id="977570145" name="Imagen 4" descr="Imagen que contiene animal, mamífero, perro, va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70145" name="Imagen 4" descr="Imagen que contiene animal, mamífero, perro, vac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0515" cy="1917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8B1F80" wp14:editId="610EF59B">
            <wp:extent cx="1798320" cy="1920240"/>
            <wp:effectExtent l="0" t="0" r="0" b="3810"/>
            <wp:docPr id="1826028670" name="Imagen 2" descr="Imagen en blanco y negro de la lu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28670" name="Imagen 2" descr="Imagen en blanco y negro de la luna&#10;&#10;Descripción generada automáticamente con confianza m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8320" cy="1920240"/>
                    </a:xfrm>
                    <a:prstGeom prst="rect">
                      <a:avLst/>
                    </a:prstGeom>
                    <a:noFill/>
                    <a:ln>
                      <a:noFill/>
                    </a:ln>
                  </pic:spPr>
                </pic:pic>
              </a:graphicData>
            </a:graphic>
          </wp:inline>
        </w:drawing>
      </w:r>
    </w:p>
    <w:p w14:paraId="60D94DD2" w14:textId="77777777" w:rsidR="009830F4" w:rsidRDefault="009830F4" w:rsidP="009830F4">
      <w:pPr>
        <w:spacing w:before="1" w:line="180" w:lineRule="exact"/>
        <w:rPr>
          <w:sz w:val="18"/>
          <w:szCs w:val="18"/>
        </w:rPr>
      </w:pPr>
    </w:p>
    <w:p w14:paraId="0B8B55D9" w14:textId="77777777" w:rsidR="009830F4" w:rsidRPr="00007897" w:rsidRDefault="009830F4" w:rsidP="009830F4">
      <w:pPr>
        <w:spacing w:line="261" w:lineRule="auto"/>
        <w:ind w:left="102" w:right="89"/>
        <w:jc w:val="both"/>
        <w:rPr>
          <w:rFonts w:asciiTheme="majorHAnsi" w:eastAsiaTheme="majorEastAsia" w:hAnsiTheme="majorHAnsi" w:cstheme="majorBidi"/>
          <w:b/>
          <w:bCs/>
          <w:color w:val="4F81BD" w:themeColor="accent1"/>
        </w:rPr>
        <w:sectPr w:rsidR="009830F4" w:rsidRPr="00007897" w:rsidSect="009830F4">
          <w:footerReference w:type="default" r:id="rId11"/>
          <w:pgSz w:w="11900" w:h="16840"/>
          <w:pgMar w:top="1340" w:right="1580" w:bottom="280" w:left="1600" w:header="0" w:footer="1000" w:gutter="0"/>
          <w:pgNumType w:start="2"/>
          <w:cols w:space="720"/>
        </w:sectPr>
      </w:pPr>
      <w:r w:rsidRPr="00C3130A">
        <w:rPr>
          <w:rFonts w:asciiTheme="minorHAnsi" w:eastAsiaTheme="majorEastAsia" w:hAnsiTheme="minorHAnsi" w:cstheme="minorHAnsi"/>
          <w:b/>
          <w:bCs/>
          <w:color w:val="4F81BD" w:themeColor="accent1"/>
        </w:rPr>
        <w:t xml:space="preserve">Figura 1,2: Imágenes de </w:t>
      </w:r>
      <w:proofErr w:type="spellStart"/>
      <w:r w:rsidRPr="00C3130A">
        <w:rPr>
          <w:rFonts w:asciiTheme="minorHAnsi" w:eastAsiaTheme="majorEastAsia" w:hAnsiTheme="minorHAnsi" w:cstheme="minorHAnsi"/>
          <w:b/>
          <w:bCs/>
          <w:color w:val="4F81BD" w:themeColor="accent1"/>
        </w:rPr>
        <w:t>angiotomografía</w:t>
      </w:r>
      <w:proofErr w:type="spellEnd"/>
      <w:r w:rsidRPr="00C3130A">
        <w:rPr>
          <w:rFonts w:asciiTheme="minorHAnsi" w:eastAsiaTheme="majorEastAsia" w:hAnsiTheme="minorHAnsi" w:cstheme="minorHAnsi"/>
          <w:b/>
          <w:bCs/>
          <w:color w:val="4F81BD" w:themeColor="accent1"/>
        </w:rPr>
        <w:t xml:space="preserve"> cerebral en proyección axial y sagital, en ventana de cerebro que muestra la presencia de múltiples áreas hiperdensas en lóbulos frontales, de distribución difusa, bilateral</w:t>
      </w:r>
      <w:r w:rsidRPr="00007897">
        <w:rPr>
          <w:rFonts w:asciiTheme="majorHAnsi" w:eastAsiaTheme="majorEastAsia" w:hAnsiTheme="majorHAnsi" w:cstheme="majorBidi"/>
          <w:b/>
          <w:bCs/>
          <w:color w:val="4F81BD" w:themeColor="accent1"/>
        </w:rPr>
        <w:t>.</w:t>
      </w:r>
    </w:p>
    <w:p w14:paraId="7B69102A" w14:textId="7C9145F8" w:rsidR="009830F4" w:rsidRDefault="009830F4" w:rsidP="009830F4">
      <w:pPr>
        <w:spacing w:before="99"/>
        <w:ind w:left="101"/>
      </w:pPr>
      <w:r>
        <w:rPr>
          <w:noProof/>
        </w:rPr>
        <w:lastRenderedPageBreak/>
        <w:drawing>
          <wp:anchor distT="0" distB="0" distL="114300" distR="114300" simplePos="0" relativeHeight="251669504" behindDoc="1" locked="0" layoutInCell="1" allowOverlap="1" wp14:anchorId="6BAEEB70" wp14:editId="610A0ADD">
            <wp:simplePos x="0" y="0"/>
            <wp:positionH relativeFrom="page">
              <wp:posOffset>3770630</wp:posOffset>
            </wp:positionH>
            <wp:positionV relativeFrom="paragraph">
              <wp:posOffset>69215</wp:posOffset>
            </wp:positionV>
            <wp:extent cx="2437130" cy="2861945"/>
            <wp:effectExtent l="0" t="0" r="1270" b="0"/>
            <wp:wrapNone/>
            <wp:docPr id="636296642" name="Imagen 3" descr="Imagen que contiene oscuro, g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96642" name="Imagen 3" descr="Imagen que contiene oscuro, gat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7130" cy="2861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44360F" wp14:editId="594F9B52">
            <wp:extent cx="2499360" cy="2865120"/>
            <wp:effectExtent l="0" t="0" r="0" b="0"/>
            <wp:docPr id="875064758"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64758" name="Imagen 1" descr="Imagen en blanco y negro&#10;&#10;Descripción generada automáticamente con confianza m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2865120"/>
                    </a:xfrm>
                    <a:prstGeom prst="rect">
                      <a:avLst/>
                    </a:prstGeom>
                    <a:noFill/>
                    <a:ln>
                      <a:noFill/>
                    </a:ln>
                  </pic:spPr>
                </pic:pic>
              </a:graphicData>
            </a:graphic>
          </wp:inline>
        </w:drawing>
      </w:r>
    </w:p>
    <w:p w14:paraId="089E0D27" w14:textId="77777777" w:rsidR="009830F4" w:rsidRDefault="009830F4" w:rsidP="009830F4">
      <w:pPr>
        <w:spacing w:before="5" w:line="140" w:lineRule="exact"/>
        <w:rPr>
          <w:sz w:val="14"/>
          <w:szCs w:val="14"/>
        </w:rPr>
      </w:pPr>
    </w:p>
    <w:p w14:paraId="326B483E" w14:textId="77777777" w:rsidR="009830F4" w:rsidRPr="00C3130A" w:rsidRDefault="009830F4" w:rsidP="009830F4">
      <w:pPr>
        <w:spacing w:before="37" w:line="260" w:lineRule="auto"/>
        <w:ind w:left="102" w:right="85"/>
        <w:jc w:val="both"/>
        <w:rPr>
          <w:rFonts w:asciiTheme="minorHAnsi" w:eastAsiaTheme="majorEastAsia" w:hAnsiTheme="minorHAnsi" w:cstheme="minorHAnsi"/>
          <w:b/>
          <w:bCs/>
          <w:color w:val="4F81BD" w:themeColor="accent1"/>
        </w:rPr>
      </w:pPr>
      <w:r w:rsidRPr="00C3130A">
        <w:rPr>
          <w:rFonts w:asciiTheme="minorHAnsi" w:eastAsiaTheme="majorEastAsia" w:hAnsiTheme="minorHAnsi" w:cstheme="minorHAnsi"/>
          <w:b/>
          <w:bCs/>
          <w:color w:val="4F81BD" w:themeColor="accent1"/>
        </w:rPr>
        <w:t xml:space="preserve">Figura 3 y 4: </w:t>
      </w:r>
      <w:proofErr w:type="spellStart"/>
      <w:r w:rsidRPr="00C3130A">
        <w:rPr>
          <w:rFonts w:asciiTheme="minorHAnsi" w:eastAsiaTheme="majorEastAsia" w:hAnsiTheme="minorHAnsi" w:cstheme="minorHAnsi"/>
          <w:b/>
          <w:bCs/>
          <w:color w:val="4F81BD" w:themeColor="accent1"/>
        </w:rPr>
        <w:t>angiotomografía</w:t>
      </w:r>
      <w:proofErr w:type="spellEnd"/>
      <w:r w:rsidRPr="00C3130A">
        <w:rPr>
          <w:rFonts w:asciiTheme="minorHAnsi" w:eastAsiaTheme="majorEastAsia" w:hAnsiTheme="minorHAnsi" w:cstheme="minorHAnsi"/>
          <w:b/>
          <w:bCs/>
          <w:color w:val="4F81BD" w:themeColor="accent1"/>
        </w:rPr>
        <w:t xml:space="preserve"> cerebral en ventana angiográfica que evidencia en la imagen 3 la presencia del signo del delta vacío y en la figura 4 la presencia del defecto de llenado tras la aplicación del medio de contraste que compromete el seno sagital superior, compatible con trombosis del seno sagital superior.</w:t>
      </w:r>
    </w:p>
    <w:p w14:paraId="58BF3968" w14:textId="77777777" w:rsidR="009830F4" w:rsidRPr="00C3130A" w:rsidRDefault="009830F4" w:rsidP="009830F4">
      <w:pPr>
        <w:spacing w:before="4" w:line="160" w:lineRule="exact"/>
        <w:rPr>
          <w:rFonts w:asciiTheme="minorHAnsi" w:hAnsiTheme="minorHAnsi" w:cstheme="minorHAnsi"/>
          <w:sz w:val="16"/>
          <w:szCs w:val="16"/>
          <w:lang w:val="es-HN"/>
        </w:rPr>
      </w:pPr>
    </w:p>
    <w:p w14:paraId="3B0A1E2D" w14:textId="77777777" w:rsidR="009830F4" w:rsidRPr="00B25419" w:rsidRDefault="009830F4" w:rsidP="009830F4">
      <w:pPr>
        <w:spacing w:line="200" w:lineRule="exact"/>
        <w:rPr>
          <w:lang w:val="es-HN"/>
        </w:rPr>
      </w:pPr>
    </w:p>
    <w:p w14:paraId="0E34848F" w14:textId="77777777" w:rsidR="009830F4" w:rsidRPr="00B25419" w:rsidRDefault="009830F4" w:rsidP="009830F4">
      <w:pPr>
        <w:spacing w:line="200" w:lineRule="exact"/>
        <w:rPr>
          <w:lang w:val="es-HN"/>
        </w:rPr>
      </w:pPr>
    </w:p>
    <w:p w14:paraId="0FCE1E1F" w14:textId="28D6D6CD" w:rsidR="009830F4" w:rsidRPr="00C3130A" w:rsidRDefault="007C5783" w:rsidP="00C3130A">
      <w:pPr>
        <w:ind w:right="7160"/>
        <w:jc w:val="both"/>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t>CONCLUSIONES</w:t>
      </w:r>
    </w:p>
    <w:p w14:paraId="71663944" w14:textId="77777777" w:rsidR="009830F4" w:rsidRPr="00B25419" w:rsidRDefault="009830F4" w:rsidP="00C3130A">
      <w:pPr>
        <w:spacing w:before="4" w:line="180" w:lineRule="exact"/>
        <w:rPr>
          <w:sz w:val="18"/>
          <w:szCs w:val="18"/>
          <w:lang w:val="es-HN"/>
        </w:rPr>
      </w:pPr>
    </w:p>
    <w:p w14:paraId="79AFD3C5" w14:textId="77777777" w:rsidR="009830F4" w:rsidRPr="00007897" w:rsidRDefault="009830F4" w:rsidP="009830F4">
      <w:pPr>
        <w:spacing w:line="258" w:lineRule="auto"/>
        <w:ind w:left="102" w:right="77"/>
        <w:jc w:val="both"/>
        <w:rPr>
          <w:rFonts w:asciiTheme="minorHAnsi" w:eastAsiaTheme="minorEastAsia" w:hAnsiTheme="minorHAnsi" w:cstheme="minorBidi"/>
        </w:rPr>
      </w:pPr>
      <w:r w:rsidRPr="00007897">
        <w:rPr>
          <w:rFonts w:asciiTheme="minorHAnsi" w:eastAsiaTheme="minorEastAsia" w:hAnsiTheme="minorHAnsi" w:cstheme="minorBidi"/>
        </w:rPr>
        <w:t>Las malformaciones vasculares representan la principal causa de hemorragia intracerebral del adulto joven, sin embargo, los accidentes cerebrovasculares por abuso de drogas han aumentado paralelamente al mayor consumo y a la disponibilidad de drogas de mayor pureza, siendo la hemorragia y el infarto cerebral las principales complicaciones que se debe considerar diagnóstico diferencial de estos pacientes.</w:t>
      </w:r>
    </w:p>
    <w:p w14:paraId="695C2653" w14:textId="77777777" w:rsidR="009830F4" w:rsidRPr="00007897" w:rsidRDefault="009830F4" w:rsidP="009830F4">
      <w:pPr>
        <w:spacing w:line="200" w:lineRule="exact"/>
        <w:rPr>
          <w:rFonts w:asciiTheme="minorHAnsi" w:eastAsiaTheme="minorEastAsia" w:hAnsiTheme="minorHAnsi" w:cstheme="minorBidi"/>
        </w:rPr>
      </w:pPr>
    </w:p>
    <w:p w14:paraId="76FC14FF" w14:textId="77777777" w:rsidR="009830F4" w:rsidRPr="00B25419" w:rsidRDefault="009830F4" w:rsidP="009830F4">
      <w:pPr>
        <w:spacing w:before="6" w:line="220" w:lineRule="exact"/>
        <w:rPr>
          <w:lang w:val="es-HN"/>
        </w:rPr>
      </w:pPr>
    </w:p>
    <w:p w14:paraId="5B759D49" w14:textId="77777777" w:rsidR="000325F9" w:rsidRPr="00C3130A" w:rsidRDefault="000325F9" w:rsidP="00C3130A">
      <w:pPr>
        <w:ind w:right="7160"/>
        <w:jc w:val="both"/>
        <w:rPr>
          <w:rFonts w:asciiTheme="minorHAnsi" w:eastAsiaTheme="majorEastAsia" w:hAnsiTheme="minorHAnsi" w:cstheme="minorHAnsi"/>
          <w:b/>
          <w:bCs/>
          <w:color w:val="365F91" w:themeColor="accent1" w:themeShade="BF"/>
          <w:sz w:val="28"/>
          <w:szCs w:val="28"/>
        </w:rPr>
      </w:pPr>
      <w:r w:rsidRPr="00C3130A">
        <w:rPr>
          <w:rFonts w:asciiTheme="minorHAnsi" w:eastAsiaTheme="majorEastAsia" w:hAnsiTheme="minorHAnsi" w:cstheme="minorHAnsi"/>
          <w:b/>
          <w:bCs/>
          <w:color w:val="365F91" w:themeColor="accent1" w:themeShade="BF"/>
          <w:sz w:val="28"/>
          <w:szCs w:val="28"/>
        </w:rPr>
        <w:t>REFERENCIAS</w:t>
      </w:r>
    </w:p>
    <w:p w14:paraId="07FA2D30" w14:textId="77777777" w:rsidR="009830F4" w:rsidRPr="00C3130A" w:rsidRDefault="009830F4" w:rsidP="00C3130A">
      <w:pPr>
        <w:ind w:left="-567" w:right="7160"/>
        <w:jc w:val="both"/>
        <w:rPr>
          <w:rFonts w:asciiTheme="minorHAnsi" w:eastAsiaTheme="majorEastAsia" w:hAnsiTheme="minorHAnsi" w:cstheme="minorHAnsi"/>
          <w:b/>
          <w:bCs/>
          <w:color w:val="365F91" w:themeColor="accent1" w:themeShade="BF"/>
          <w:sz w:val="28"/>
          <w:szCs w:val="28"/>
        </w:rPr>
      </w:pPr>
    </w:p>
    <w:p w14:paraId="6C670884" w14:textId="44A25FE5" w:rsidR="009830F4" w:rsidRPr="00C3130A" w:rsidRDefault="009830F4" w:rsidP="00007897">
      <w:pPr>
        <w:widowControl/>
        <w:autoSpaceDE/>
        <w:autoSpaceDN/>
        <w:spacing w:after="200" w:line="276" w:lineRule="auto"/>
        <w:rPr>
          <w:rFonts w:asciiTheme="minorHAnsi" w:eastAsiaTheme="minorEastAsia" w:hAnsiTheme="minorHAnsi" w:cstheme="minorHAnsi"/>
        </w:rPr>
      </w:pPr>
      <w:r w:rsidRPr="00C3130A">
        <w:rPr>
          <w:rFonts w:asciiTheme="minorHAnsi" w:eastAsiaTheme="minorEastAsia" w:hAnsiTheme="minorHAnsi" w:cstheme="minorHAnsi"/>
        </w:rPr>
        <w:t xml:space="preserve">1.  J.E. Cohen et al., “Hematoma Cerebral Asociado a Consumo de Cocaína en el </w:t>
      </w:r>
      <w:r w:rsidR="00007897" w:rsidRPr="00C3130A">
        <w:rPr>
          <w:rFonts w:asciiTheme="minorHAnsi" w:eastAsiaTheme="minorEastAsia" w:hAnsiTheme="minorHAnsi" w:cstheme="minorHAnsi"/>
        </w:rPr>
        <w:t>Diagnostico Diferencial del Ictus del Adulto Joven</w:t>
      </w:r>
      <w:r w:rsidRPr="00C3130A">
        <w:rPr>
          <w:rFonts w:asciiTheme="minorHAnsi" w:eastAsiaTheme="minorEastAsia" w:hAnsiTheme="minorHAnsi" w:cstheme="minorHAnsi"/>
        </w:rPr>
        <w:t xml:space="preserve">,” </w:t>
      </w:r>
      <w:r w:rsidR="00007897" w:rsidRPr="00C3130A">
        <w:rPr>
          <w:rFonts w:asciiTheme="minorHAnsi" w:eastAsiaTheme="minorEastAsia" w:hAnsiTheme="minorHAnsi" w:cstheme="minorHAnsi"/>
        </w:rPr>
        <w:t>Revista Argentina de</w:t>
      </w:r>
      <w:r w:rsidRPr="00C3130A">
        <w:rPr>
          <w:rFonts w:asciiTheme="minorHAnsi" w:eastAsiaTheme="minorEastAsia" w:hAnsiTheme="minorHAnsi" w:cstheme="minorHAnsi"/>
        </w:rPr>
        <w:t xml:space="preserve"> </w:t>
      </w:r>
      <w:r w:rsidR="00F2091E" w:rsidRPr="00C3130A">
        <w:rPr>
          <w:rFonts w:asciiTheme="minorHAnsi" w:eastAsiaTheme="minorEastAsia" w:hAnsiTheme="minorHAnsi" w:cstheme="minorHAnsi"/>
        </w:rPr>
        <w:t>Neurocirugía, consulta</w:t>
      </w:r>
      <w:r w:rsidRPr="00C3130A">
        <w:rPr>
          <w:rFonts w:asciiTheme="minorHAnsi" w:eastAsiaTheme="minorEastAsia" w:hAnsiTheme="minorHAnsi" w:cstheme="minorHAnsi"/>
        </w:rPr>
        <w:t xml:space="preserve"> 15</w:t>
      </w:r>
      <w:r w:rsidR="00007897" w:rsidRPr="00C3130A">
        <w:rPr>
          <w:rFonts w:asciiTheme="minorHAnsi" w:eastAsiaTheme="minorEastAsia" w:hAnsiTheme="minorHAnsi" w:cstheme="minorHAnsi"/>
        </w:rPr>
        <w:t xml:space="preserve"> </w:t>
      </w:r>
      <w:r w:rsidRPr="00C3130A">
        <w:rPr>
          <w:rFonts w:asciiTheme="minorHAnsi" w:eastAsiaTheme="minorEastAsia" w:hAnsiTheme="minorHAnsi" w:cstheme="minorHAnsi"/>
        </w:rPr>
        <w:t>de agosto</w:t>
      </w:r>
      <w:r w:rsidR="00007897" w:rsidRPr="00C3130A">
        <w:rPr>
          <w:rFonts w:asciiTheme="minorHAnsi" w:eastAsiaTheme="minorEastAsia" w:hAnsiTheme="minorHAnsi" w:cstheme="minorHAnsi"/>
        </w:rPr>
        <w:t xml:space="preserve"> </w:t>
      </w:r>
      <w:r w:rsidRPr="00C3130A">
        <w:rPr>
          <w:rFonts w:asciiTheme="minorHAnsi" w:eastAsiaTheme="minorEastAsia" w:hAnsiTheme="minorHAnsi" w:cstheme="minorHAnsi"/>
        </w:rPr>
        <w:t>de</w:t>
      </w:r>
      <w:r w:rsidR="00007897" w:rsidRPr="00C3130A">
        <w:rPr>
          <w:rFonts w:asciiTheme="minorHAnsi" w:eastAsiaTheme="minorEastAsia" w:hAnsiTheme="minorHAnsi" w:cstheme="minorHAnsi"/>
        </w:rPr>
        <w:t xml:space="preserve"> </w:t>
      </w:r>
      <w:r w:rsidRPr="00C3130A">
        <w:rPr>
          <w:rFonts w:asciiTheme="minorHAnsi" w:eastAsiaTheme="minorEastAsia" w:hAnsiTheme="minorHAnsi" w:cstheme="minorHAnsi"/>
        </w:rPr>
        <w:t xml:space="preserve">2024,  </w:t>
      </w:r>
      <w:hyperlink r:id="rId14">
        <w:r w:rsidRPr="00C3130A">
          <w:rPr>
            <w:rFonts w:asciiTheme="minorHAnsi" w:eastAsiaTheme="minorEastAsia" w:hAnsiTheme="minorHAnsi" w:cstheme="minorHAnsi"/>
          </w:rPr>
          <w:t>https://aanc.org.ar/ranc/items/show/924.</w:t>
        </w:r>
      </w:hyperlink>
    </w:p>
    <w:p w14:paraId="47BEADFB" w14:textId="77777777" w:rsidR="009830F4" w:rsidRPr="00C3130A" w:rsidRDefault="009830F4" w:rsidP="00007897">
      <w:pPr>
        <w:widowControl/>
        <w:autoSpaceDE/>
        <w:autoSpaceDN/>
        <w:spacing w:after="200" w:line="276" w:lineRule="auto"/>
        <w:rPr>
          <w:rFonts w:asciiTheme="minorHAnsi" w:eastAsiaTheme="minorEastAsia" w:hAnsiTheme="minorHAnsi" w:cstheme="minorHAnsi"/>
          <w:lang w:val="en-US"/>
        </w:rPr>
      </w:pPr>
      <w:r w:rsidRPr="00C3130A">
        <w:rPr>
          <w:rFonts w:asciiTheme="minorHAnsi" w:eastAsiaTheme="minorEastAsia" w:hAnsiTheme="minorHAnsi" w:cstheme="minorHAnsi"/>
          <w:lang w:val="en-US"/>
        </w:rPr>
        <w:t>2.  Jacobs, I. G., Roszler, M. H., Kelly, J. K., Klein, M. A., &amp; Kling, G. A.</w:t>
      </w:r>
    </w:p>
    <w:p w14:paraId="7925641A" w14:textId="77777777" w:rsidR="009830F4" w:rsidRPr="00C3130A" w:rsidRDefault="009830F4" w:rsidP="00007897">
      <w:pPr>
        <w:widowControl/>
        <w:autoSpaceDE/>
        <w:autoSpaceDN/>
        <w:spacing w:after="200" w:line="276" w:lineRule="auto"/>
        <w:rPr>
          <w:rFonts w:asciiTheme="minorHAnsi" w:eastAsiaTheme="minorEastAsia" w:hAnsiTheme="minorHAnsi" w:cstheme="minorHAnsi"/>
          <w:lang w:val="en-US"/>
        </w:rPr>
      </w:pPr>
      <w:r w:rsidRPr="00C3130A">
        <w:rPr>
          <w:rFonts w:asciiTheme="minorHAnsi" w:eastAsiaTheme="minorEastAsia" w:hAnsiTheme="minorHAnsi" w:cstheme="minorHAnsi"/>
          <w:lang w:val="en-US"/>
        </w:rPr>
        <w:t>(1989). Cocaine abuse: neurovascular complications. Radiology, 170(1), 223–</w:t>
      </w:r>
    </w:p>
    <w:p w14:paraId="2A7E2532" w14:textId="77777777" w:rsidR="009830F4" w:rsidRPr="00C3130A" w:rsidRDefault="009830F4" w:rsidP="00007897">
      <w:pPr>
        <w:widowControl/>
        <w:autoSpaceDE/>
        <w:autoSpaceDN/>
        <w:spacing w:after="200" w:line="276" w:lineRule="auto"/>
        <w:rPr>
          <w:rFonts w:asciiTheme="minorHAnsi" w:eastAsiaTheme="minorEastAsia" w:hAnsiTheme="minorHAnsi" w:cstheme="minorHAnsi"/>
        </w:rPr>
      </w:pPr>
      <w:r w:rsidRPr="00C3130A">
        <w:rPr>
          <w:rFonts w:asciiTheme="minorHAnsi" w:eastAsiaTheme="minorEastAsia" w:hAnsiTheme="minorHAnsi" w:cstheme="minorHAnsi"/>
        </w:rPr>
        <w:t>227. doi:10.1148/radiology.170.1.290910.</w:t>
      </w:r>
    </w:p>
    <w:p w14:paraId="0B4831CE" w14:textId="4781D8A9" w:rsidR="009830F4" w:rsidRPr="00C3130A" w:rsidRDefault="009830F4" w:rsidP="00007897">
      <w:pPr>
        <w:widowControl/>
        <w:autoSpaceDE/>
        <w:autoSpaceDN/>
        <w:spacing w:after="200" w:line="276" w:lineRule="auto"/>
        <w:rPr>
          <w:rFonts w:asciiTheme="minorHAnsi" w:eastAsiaTheme="minorEastAsia" w:hAnsiTheme="minorHAnsi" w:cstheme="minorHAnsi"/>
        </w:rPr>
      </w:pPr>
      <w:r w:rsidRPr="00C3130A">
        <w:rPr>
          <w:rFonts w:asciiTheme="minorHAnsi" w:eastAsiaTheme="minorEastAsia" w:hAnsiTheme="minorHAnsi" w:cstheme="minorHAnsi"/>
        </w:rPr>
        <w:t xml:space="preserve">3.  Casas Parera I, </w:t>
      </w:r>
      <w:proofErr w:type="spellStart"/>
      <w:r w:rsidRPr="00C3130A">
        <w:rPr>
          <w:rFonts w:asciiTheme="minorHAnsi" w:eastAsiaTheme="minorEastAsia" w:hAnsiTheme="minorHAnsi" w:cstheme="minorHAnsi"/>
        </w:rPr>
        <w:t>Gatto</w:t>
      </w:r>
      <w:proofErr w:type="spellEnd"/>
      <w:r w:rsidRPr="00C3130A">
        <w:rPr>
          <w:rFonts w:asciiTheme="minorHAnsi" w:eastAsiaTheme="minorEastAsia" w:hAnsiTheme="minorHAnsi" w:cstheme="minorHAnsi"/>
        </w:rPr>
        <w:t xml:space="preserve"> E, Fernández Pardal MM y colaboradores: Complicaciones neurológicas por abuso de cocaína, Medicina (Buenos Aires)</w:t>
      </w:r>
      <w:r w:rsidR="00007897" w:rsidRPr="00C3130A">
        <w:rPr>
          <w:rFonts w:asciiTheme="minorHAnsi" w:eastAsiaTheme="minorEastAsia" w:hAnsiTheme="minorHAnsi" w:cstheme="minorHAnsi"/>
        </w:rPr>
        <w:t xml:space="preserve"> </w:t>
      </w:r>
      <w:r w:rsidRPr="00C3130A">
        <w:rPr>
          <w:rFonts w:asciiTheme="minorHAnsi" w:eastAsiaTheme="minorEastAsia" w:hAnsiTheme="minorHAnsi" w:cstheme="minorHAnsi"/>
        </w:rPr>
        <w:t>54: 3541, 1994.</w:t>
      </w:r>
    </w:p>
    <w:p w14:paraId="6BAB5844" w14:textId="77777777" w:rsidR="009830F4" w:rsidRPr="00C3130A" w:rsidRDefault="009830F4" w:rsidP="00007897">
      <w:pPr>
        <w:widowControl/>
        <w:autoSpaceDE/>
        <w:autoSpaceDN/>
        <w:spacing w:after="200" w:line="276" w:lineRule="auto"/>
        <w:rPr>
          <w:rFonts w:asciiTheme="minorHAnsi" w:eastAsiaTheme="minorEastAsia" w:hAnsiTheme="minorHAnsi" w:cstheme="minorHAnsi"/>
          <w:lang w:val="en-US"/>
        </w:rPr>
      </w:pPr>
      <w:r w:rsidRPr="00C3130A">
        <w:rPr>
          <w:rFonts w:asciiTheme="minorHAnsi" w:eastAsiaTheme="minorEastAsia" w:hAnsiTheme="minorHAnsi" w:cstheme="minorHAnsi"/>
          <w:lang w:val="en-US"/>
        </w:rPr>
        <w:lastRenderedPageBreak/>
        <w:t xml:space="preserve">4.  </w:t>
      </w:r>
      <w:proofErr w:type="spellStart"/>
      <w:r w:rsidRPr="00C3130A">
        <w:rPr>
          <w:rFonts w:asciiTheme="minorHAnsi" w:eastAsiaTheme="minorEastAsia" w:hAnsiTheme="minorHAnsi" w:cstheme="minorHAnsi"/>
          <w:lang w:val="en-US"/>
        </w:rPr>
        <w:t>Cregler</w:t>
      </w:r>
      <w:proofErr w:type="spellEnd"/>
      <w:r w:rsidRPr="00C3130A">
        <w:rPr>
          <w:rFonts w:asciiTheme="minorHAnsi" w:eastAsiaTheme="minorEastAsia" w:hAnsiTheme="minorHAnsi" w:cstheme="minorHAnsi"/>
          <w:lang w:val="en-US"/>
        </w:rPr>
        <w:t xml:space="preserve"> LL, Mark H: Special report: medical complications of cocaine abuse. N Engl J Med 315: 1495, 1500, 1986.</w:t>
      </w:r>
    </w:p>
    <w:p w14:paraId="27661DE5" w14:textId="77777777" w:rsidR="009830F4" w:rsidRPr="00C3130A" w:rsidRDefault="009830F4" w:rsidP="00007897">
      <w:pPr>
        <w:widowControl/>
        <w:autoSpaceDE/>
        <w:autoSpaceDN/>
        <w:spacing w:after="200" w:line="276" w:lineRule="auto"/>
        <w:rPr>
          <w:rFonts w:asciiTheme="minorHAnsi" w:eastAsiaTheme="minorEastAsia" w:hAnsiTheme="minorHAnsi" w:cstheme="minorHAnsi"/>
          <w:lang w:val="en-US"/>
        </w:rPr>
      </w:pPr>
      <w:r w:rsidRPr="00C3130A">
        <w:rPr>
          <w:rFonts w:asciiTheme="minorHAnsi" w:eastAsiaTheme="minorEastAsia" w:hAnsiTheme="minorHAnsi" w:cstheme="minorHAnsi"/>
          <w:lang w:val="en-US"/>
        </w:rPr>
        <w:t xml:space="preserve">5.  Green RM, Kelly KM, Gabrielsen T, Levine SR, </w:t>
      </w:r>
      <w:proofErr w:type="spellStart"/>
      <w:r w:rsidRPr="00C3130A">
        <w:rPr>
          <w:rFonts w:asciiTheme="minorHAnsi" w:eastAsiaTheme="minorEastAsia" w:hAnsiTheme="minorHAnsi" w:cstheme="minorHAnsi"/>
          <w:lang w:val="en-US"/>
        </w:rPr>
        <w:t>Vanderzant</w:t>
      </w:r>
      <w:proofErr w:type="spellEnd"/>
      <w:r w:rsidRPr="00C3130A">
        <w:rPr>
          <w:rFonts w:asciiTheme="minorHAnsi" w:eastAsiaTheme="minorEastAsia" w:hAnsiTheme="minorHAnsi" w:cstheme="minorHAnsi"/>
          <w:lang w:val="en-US"/>
        </w:rPr>
        <w:t xml:space="preserve"> C: Multiple intracerebral hemorrhages after smoking "crack" cocaine, Stroke, 21: 957-962.</w:t>
      </w:r>
    </w:p>
    <w:p w14:paraId="48752FC8" w14:textId="77777777" w:rsidR="006D1B19" w:rsidRDefault="006D1B19" w:rsidP="00007897">
      <w:pPr>
        <w:widowControl/>
        <w:autoSpaceDE/>
        <w:autoSpaceDN/>
        <w:spacing w:after="200" w:line="276" w:lineRule="auto"/>
        <w:rPr>
          <w:rFonts w:asciiTheme="minorHAnsi" w:eastAsiaTheme="minorEastAsia" w:hAnsiTheme="minorHAnsi" w:cstheme="minorBidi"/>
          <w:lang w:val="en-US"/>
        </w:rPr>
      </w:pPr>
    </w:p>
    <w:p w14:paraId="59FA2BB9" w14:textId="1B17AECB" w:rsidR="006D1B19" w:rsidRPr="00C3130A" w:rsidRDefault="006D1B19" w:rsidP="006D1B19">
      <w:pPr>
        <w:pStyle w:val="NormalWeb"/>
        <w:rPr>
          <w:rFonts w:asciiTheme="minorHAnsi" w:hAnsiTheme="minorHAnsi" w:cstheme="minorHAnsi"/>
          <w:sz w:val="22"/>
          <w:szCs w:val="22"/>
        </w:rPr>
      </w:pPr>
      <w:r w:rsidRPr="00C3130A">
        <w:rPr>
          <w:rFonts w:asciiTheme="minorHAnsi" w:eastAsiaTheme="majorEastAsia" w:hAnsiTheme="minorHAnsi" w:cstheme="minorHAnsi"/>
          <w:b/>
          <w:bCs/>
          <w:color w:val="365F91" w:themeColor="accent1" w:themeShade="BF"/>
          <w:sz w:val="28"/>
          <w:szCs w:val="28"/>
          <w:lang w:eastAsia="en-US"/>
        </w:rPr>
        <w:t>Cómo citar este trabajo (Vancouver):</w:t>
      </w:r>
      <w:r w:rsidRPr="00C3130A">
        <w:rPr>
          <w:rFonts w:asciiTheme="minorHAnsi" w:hAnsiTheme="minorHAnsi" w:cstheme="minorHAnsi"/>
        </w:rPr>
        <w:br/>
      </w:r>
      <w:r w:rsidRPr="00C3130A">
        <w:rPr>
          <w:rFonts w:asciiTheme="minorHAnsi" w:hAnsiTheme="minorHAnsi" w:cstheme="minorHAnsi"/>
          <w:sz w:val="22"/>
          <w:szCs w:val="22"/>
        </w:rPr>
        <w:t xml:space="preserve">Bautista Doré, Díaz Rina, Gómez P. ASOCIACIÓN DEL USO CRÓNICO DE COCAÍNA Y HEMORRAGIA INTRAPARENQUIMATOSA DE FOCOS MÚLTIPLES [resumen]. En: Vispo NS, editor. </w:t>
      </w:r>
      <w:r w:rsidRPr="00C3130A">
        <w:rPr>
          <w:rStyle w:val="nfasis"/>
          <w:rFonts w:asciiTheme="minorHAnsi" w:hAnsiTheme="minorHAnsi" w:cstheme="minorHAnsi"/>
          <w:sz w:val="22"/>
          <w:szCs w:val="22"/>
        </w:rPr>
        <w:t>Memorias del Congreso de Investigación y Posgrado UNAH 2024: Libro de resúmenes</w:t>
      </w:r>
      <w:r w:rsidRPr="00C3130A">
        <w:rPr>
          <w:rFonts w:asciiTheme="minorHAnsi" w:hAnsiTheme="minorHAnsi" w:cstheme="minorHAnsi"/>
          <w:sz w:val="22"/>
          <w:szCs w:val="22"/>
        </w:rPr>
        <w:t xml:space="preserve">. Madrid/Tegucigalpa: Clinical Biotec S.L.; Universidad Nacional Autónoma de Honduras; 2024. </w:t>
      </w:r>
      <w:proofErr w:type="spellStart"/>
      <w:r w:rsidRPr="00C3130A">
        <w:rPr>
          <w:rFonts w:asciiTheme="minorHAnsi" w:hAnsiTheme="minorHAnsi" w:cstheme="minorHAnsi"/>
          <w:sz w:val="22"/>
          <w:szCs w:val="22"/>
        </w:rPr>
        <w:t>doi</w:t>
      </w:r>
      <w:proofErr w:type="spellEnd"/>
      <w:r w:rsidRPr="00C3130A">
        <w:rPr>
          <w:rFonts w:asciiTheme="minorHAnsi" w:hAnsiTheme="minorHAnsi" w:cstheme="minorHAnsi"/>
          <w:sz w:val="22"/>
          <w:szCs w:val="22"/>
        </w:rPr>
        <w:t>: 10.70099/</w:t>
      </w:r>
      <w:proofErr w:type="spellStart"/>
      <w:r w:rsidRPr="00C3130A">
        <w:rPr>
          <w:rFonts w:asciiTheme="minorHAnsi" w:hAnsiTheme="minorHAnsi" w:cstheme="minorHAnsi"/>
          <w:sz w:val="22"/>
          <w:szCs w:val="22"/>
        </w:rPr>
        <w:t>cb</w:t>
      </w:r>
      <w:proofErr w:type="spellEnd"/>
      <w:r w:rsidRPr="00C3130A">
        <w:rPr>
          <w:rFonts w:asciiTheme="minorHAnsi" w:hAnsiTheme="minorHAnsi" w:cstheme="minorHAnsi"/>
          <w:sz w:val="22"/>
          <w:szCs w:val="22"/>
        </w:rPr>
        <w:t>/</w:t>
      </w:r>
      <w:proofErr w:type="spellStart"/>
      <w:r w:rsidRPr="00C3130A">
        <w:rPr>
          <w:rFonts w:asciiTheme="minorHAnsi" w:hAnsiTheme="minorHAnsi" w:cstheme="minorHAnsi"/>
          <w:sz w:val="22"/>
          <w:szCs w:val="22"/>
        </w:rPr>
        <w:t>unah</w:t>
      </w:r>
      <w:proofErr w:type="spellEnd"/>
      <w:r w:rsidRPr="00C3130A">
        <w:rPr>
          <w:rFonts w:asciiTheme="minorHAnsi" w:hAnsiTheme="minorHAnsi" w:cstheme="minorHAnsi"/>
          <w:sz w:val="22"/>
          <w:szCs w:val="22"/>
        </w:rPr>
        <w:t>/2024.mem</w:t>
      </w:r>
    </w:p>
    <w:p w14:paraId="6D6C46F3" w14:textId="77777777" w:rsidR="006D1B19" w:rsidRDefault="006D1B19" w:rsidP="006D1B19">
      <w:pPr>
        <w:pStyle w:val="NormalWeb"/>
      </w:pPr>
      <w:r w:rsidRPr="00C3130A">
        <w:rPr>
          <w:rFonts w:asciiTheme="minorHAnsi" w:eastAsiaTheme="majorEastAsia" w:hAnsiTheme="minorHAnsi" w:cstheme="minorHAnsi"/>
          <w:b/>
          <w:bCs/>
          <w:color w:val="365F91" w:themeColor="accent1" w:themeShade="BF"/>
          <w:sz w:val="28"/>
          <w:szCs w:val="28"/>
          <w:lang w:eastAsia="en-US"/>
        </w:rPr>
        <w:t>ISBN del libro:</w:t>
      </w:r>
      <w:r w:rsidRPr="00C3130A">
        <w:rPr>
          <w:rFonts w:asciiTheme="minorHAnsi" w:hAnsiTheme="minorHAnsi" w:cstheme="minorHAnsi"/>
          <w:sz w:val="22"/>
          <w:szCs w:val="22"/>
        </w:rPr>
        <w:t xml:space="preserve"> 978-84-09-76685-7</w:t>
      </w:r>
    </w:p>
    <w:p w14:paraId="4F04B9FF" w14:textId="77777777" w:rsidR="006D1B19" w:rsidRPr="00007897" w:rsidRDefault="006D1B19" w:rsidP="00007897">
      <w:pPr>
        <w:widowControl/>
        <w:autoSpaceDE/>
        <w:autoSpaceDN/>
        <w:spacing w:after="200" w:line="276" w:lineRule="auto"/>
        <w:rPr>
          <w:rFonts w:asciiTheme="minorHAnsi" w:eastAsiaTheme="minorEastAsia" w:hAnsiTheme="minorHAnsi" w:cstheme="minorBidi"/>
          <w:lang w:val="en-US"/>
        </w:rPr>
      </w:pPr>
    </w:p>
    <w:sectPr w:rsidR="006D1B19" w:rsidRPr="00007897" w:rsidSect="00C84BAA">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444D" w14:textId="77777777" w:rsidR="00A81C98" w:rsidRDefault="00A81C98" w:rsidP="00932FF8">
      <w:r>
        <w:separator/>
      </w:r>
    </w:p>
  </w:endnote>
  <w:endnote w:type="continuationSeparator" w:id="0">
    <w:p w14:paraId="4B37C4FB" w14:textId="77777777" w:rsidR="00A81C98" w:rsidRDefault="00A81C98"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2505" w14:textId="79CC85E1" w:rsidR="009830F4" w:rsidRDefault="009830F4" w:rsidP="000325F9">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50DE" w14:textId="07F9AC83" w:rsidR="009830F4" w:rsidRDefault="009830F4">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3172" w14:textId="77777777" w:rsidR="00A81C98" w:rsidRDefault="00A81C98" w:rsidP="00932FF8">
      <w:r>
        <w:separator/>
      </w:r>
    </w:p>
  </w:footnote>
  <w:footnote w:type="continuationSeparator" w:id="0">
    <w:p w14:paraId="29D4A34E" w14:textId="77777777" w:rsidR="00A81C98" w:rsidRDefault="00A81C98"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6"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num w:numId="1" w16cid:durableId="1112671922">
    <w:abstractNumId w:val="6"/>
  </w:num>
  <w:num w:numId="2" w16cid:durableId="1344478386">
    <w:abstractNumId w:val="0"/>
  </w:num>
  <w:num w:numId="3" w16cid:durableId="544365550">
    <w:abstractNumId w:val="3"/>
  </w:num>
  <w:num w:numId="4" w16cid:durableId="1390299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59704">
    <w:abstractNumId w:val="2"/>
  </w:num>
  <w:num w:numId="6" w16cid:durableId="1202936450">
    <w:abstractNumId w:val="5"/>
  </w:num>
  <w:num w:numId="7" w16cid:durableId="442773970">
    <w:abstractNumId w:val="1"/>
  </w:num>
  <w:num w:numId="8" w16cid:durableId="1018002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0t7QwMTE3NjU3srBQ0lEKTi0uzszPAykwrwUAdXp/OCwAAAA="/>
  </w:docVars>
  <w:rsids>
    <w:rsidRoot w:val="009830F4"/>
    <w:rsid w:val="00005593"/>
    <w:rsid w:val="00007897"/>
    <w:rsid w:val="000325F9"/>
    <w:rsid w:val="00033B62"/>
    <w:rsid w:val="00041687"/>
    <w:rsid w:val="000423B5"/>
    <w:rsid w:val="00053749"/>
    <w:rsid w:val="001C70E7"/>
    <w:rsid w:val="002E2BF4"/>
    <w:rsid w:val="0032616E"/>
    <w:rsid w:val="003C51DD"/>
    <w:rsid w:val="003E3519"/>
    <w:rsid w:val="003E7ECF"/>
    <w:rsid w:val="004368C6"/>
    <w:rsid w:val="0044092F"/>
    <w:rsid w:val="00457C35"/>
    <w:rsid w:val="0047330D"/>
    <w:rsid w:val="005F562A"/>
    <w:rsid w:val="0065396B"/>
    <w:rsid w:val="00694284"/>
    <w:rsid w:val="006A19DF"/>
    <w:rsid w:val="006B35C6"/>
    <w:rsid w:val="006D1B19"/>
    <w:rsid w:val="006E560F"/>
    <w:rsid w:val="007C5783"/>
    <w:rsid w:val="008256F3"/>
    <w:rsid w:val="008A7A57"/>
    <w:rsid w:val="008C26E4"/>
    <w:rsid w:val="00906565"/>
    <w:rsid w:val="00932FF8"/>
    <w:rsid w:val="0096039E"/>
    <w:rsid w:val="009830F4"/>
    <w:rsid w:val="009D0B28"/>
    <w:rsid w:val="009F0432"/>
    <w:rsid w:val="00A02BAA"/>
    <w:rsid w:val="00A22018"/>
    <w:rsid w:val="00A502AF"/>
    <w:rsid w:val="00A81C98"/>
    <w:rsid w:val="00AE015E"/>
    <w:rsid w:val="00B05BA4"/>
    <w:rsid w:val="00B47E7D"/>
    <w:rsid w:val="00B943CC"/>
    <w:rsid w:val="00BA557A"/>
    <w:rsid w:val="00BC1774"/>
    <w:rsid w:val="00C1254A"/>
    <w:rsid w:val="00C3130A"/>
    <w:rsid w:val="00C565AC"/>
    <w:rsid w:val="00C5707A"/>
    <w:rsid w:val="00C84BAA"/>
    <w:rsid w:val="00CA76D8"/>
    <w:rsid w:val="00CB0A47"/>
    <w:rsid w:val="00CE5DA6"/>
    <w:rsid w:val="00CF6971"/>
    <w:rsid w:val="00D12500"/>
    <w:rsid w:val="00D674D1"/>
    <w:rsid w:val="00DD063C"/>
    <w:rsid w:val="00DD42D1"/>
    <w:rsid w:val="00DE7FDB"/>
    <w:rsid w:val="00E84A2F"/>
    <w:rsid w:val="00F2091E"/>
    <w:rsid w:val="00F2642B"/>
    <w:rsid w:val="00F42724"/>
    <w:rsid w:val="00F4396C"/>
    <w:rsid w:val="00F661A1"/>
    <w:rsid w:val="00F94ED6"/>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A50F"/>
  <w15:docId w15:val="{B3B6F9DB-8BA7-40CB-A651-D5002702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2" w:right="183"/>
      <w:jc w:val="both"/>
      <w:outlineLvl w:val="0"/>
    </w:pPr>
    <w:rPr>
      <w:sz w:val="24"/>
      <w:szCs w:val="24"/>
    </w:rPr>
  </w:style>
  <w:style w:type="paragraph" w:styleId="Ttulo2">
    <w:name w:val="heading 2"/>
    <w:basedOn w:val="Normal"/>
    <w:link w:val="Ttulo2Car"/>
    <w:uiPriority w:val="9"/>
    <w:unhideWhenUsed/>
    <w:qFormat/>
    <w:pPr>
      <w:ind w:left="232"/>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9830F4"/>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830F4"/>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9830F4"/>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9830F4"/>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830F4"/>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830F4"/>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9830F4"/>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styleId="Mencinsinresolver">
    <w:name w:val="Unresolved Mention"/>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rsid w:val="00457C35"/>
    <w:rPr>
      <w:sz w:val="21"/>
      <w:szCs w:val="21"/>
    </w:rPr>
  </w:style>
  <w:style w:type="paragraph" w:styleId="Textocomentario">
    <w:name w:val="annotation text"/>
    <w:basedOn w:val="Normal"/>
    <w:link w:val="TextocomentarioCar"/>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
    <w:name w:val="Título 3 Car"/>
    <w:basedOn w:val="Fuentedeprrafopredeter"/>
    <w:link w:val="Ttulo3"/>
    <w:uiPriority w:val="9"/>
    <w:semiHidden/>
    <w:rsid w:val="009830F4"/>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9830F4"/>
    <w:rPr>
      <w:rFonts w:eastAsiaTheme="minorEastAsia"/>
      <w:b/>
      <w:bCs/>
      <w:sz w:val="28"/>
      <w:szCs w:val="28"/>
    </w:rPr>
  </w:style>
  <w:style w:type="character" w:customStyle="1" w:styleId="Ttulo5Car">
    <w:name w:val="Título 5 Car"/>
    <w:basedOn w:val="Fuentedeprrafopredeter"/>
    <w:link w:val="Ttulo5"/>
    <w:uiPriority w:val="9"/>
    <w:semiHidden/>
    <w:rsid w:val="009830F4"/>
    <w:rPr>
      <w:rFonts w:eastAsiaTheme="minorEastAsia"/>
      <w:b/>
      <w:bCs/>
      <w:i/>
      <w:iCs/>
      <w:sz w:val="26"/>
      <w:szCs w:val="26"/>
    </w:rPr>
  </w:style>
  <w:style w:type="character" w:customStyle="1" w:styleId="Ttulo6Car">
    <w:name w:val="Título 6 Car"/>
    <w:basedOn w:val="Fuentedeprrafopredeter"/>
    <w:link w:val="Ttulo6"/>
    <w:rsid w:val="009830F4"/>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9830F4"/>
    <w:rPr>
      <w:rFonts w:eastAsiaTheme="minorEastAsia"/>
      <w:sz w:val="24"/>
      <w:szCs w:val="24"/>
    </w:rPr>
  </w:style>
  <w:style w:type="character" w:customStyle="1" w:styleId="Ttulo8Car">
    <w:name w:val="Título 8 Car"/>
    <w:basedOn w:val="Fuentedeprrafopredeter"/>
    <w:link w:val="Ttulo8"/>
    <w:uiPriority w:val="9"/>
    <w:semiHidden/>
    <w:rsid w:val="009830F4"/>
    <w:rPr>
      <w:rFonts w:eastAsiaTheme="minorEastAsia"/>
      <w:i/>
      <w:iCs/>
      <w:sz w:val="24"/>
      <w:szCs w:val="24"/>
    </w:rPr>
  </w:style>
  <w:style w:type="character" w:customStyle="1" w:styleId="Ttulo9Car">
    <w:name w:val="Título 9 Car"/>
    <w:basedOn w:val="Fuentedeprrafopredeter"/>
    <w:link w:val="Ttulo9"/>
    <w:uiPriority w:val="9"/>
    <w:semiHidden/>
    <w:rsid w:val="009830F4"/>
    <w:rPr>
      <w:rFonts w:asciiTheme="majorHAnsi" w:eastAsiaTheme="majorEastAsia" w:hAnsiTheme="majorHAnsi" w:cstheme="majorBidi"/>
    </w:rPr>
  </w:style>
  <w:style w:type="character" w:customStyle="1" w:styleId="Ttulo1Car">
    <w:name w:val="Título 1 Car"/>
    <w:basedOn w:val="Fuentedeprrafopredeter"/>
    <w:link w:val="Ttulo1"/>
    <w:uiPriority w:val="9"/>
    <w:rsid w:val="009830F4"/>
    <w:rPr>
      <w:rFonts w:ascii="Arial MT" w:eastAsia="Arial MT" w:hAnsi="Arial MT" w:cs="Arial MT"/>
      <w:sz w:val="24"/>
      <w:szCs w:val="24"/>
      <w:lang w:val="es-ES"/>
    </w:rPr>
  </w:style>
  <w:style w:type="character" w:customStyle="1" w:styleId="Ttulo2Car">
    <w:name w:val="Título 2 Car"/>
    <w:basedOn w:val="Fuentedeprrafopredeter"/>
    <w:link w:val="Ttulo2"/>
    <w:uiPriority w:val="9"/>
    <w:rsid w:val="009830F4"/>
    <w:rPr>
      <w:rFonts w:ascii="Arial" w:eastAsia="Arial" w:hAnsi="Arial" w:cs="Arial"/>
      <w:b/>
      <w:bCs/>
      <w:lang w:val="es-ES"/>
    </w:rPr>
  </w:style>
  <w:style w:type="paragraph" w:styleId="NormalWeb">
    <w:name w:val="Normal (Web)"/>
    <w:basedOn w:val="Normal"/>
    <w:uiPriority w:val="99"/>
    <w:semiHidden/>
    <w:unhideWhenUsed/>
    <w:rsid w:val="006D1B1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D1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anc.org.ar/ranc/items/show/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EP2024\OneDrive%20-%20Universidad%20Nacional%20Aut&#243;noma%20de%20Honduras\DSEP\Congreso%20de%20Investigaci&#243;n%20y%20Posgrado\plantillas\Resumen%20Para%20Aprobaci&#243;n%20Poster%20%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Resumen Para Aprobación Poster  2024.dotx</Template>
  <TotalTime>26</TotalTime>
  <Pages>4</Pages>
  <Words>942</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DSEP2024</dc:creator>
  <cp:lastModifiedBy>Bionatura Journal</cp:lastModifiedBy>
  <cp:revision>9</cp:revision>
  <dcterms:created xsi:type="dcterms:W3CDTF">2025-03-11T15:38:00Z</dcterms:created>
  <dcterms:modified xsi:type="dcterms:W3CDTF">2025-10-28T15:32:00Z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