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87E0" w14:textId="06B84CB3" w:rsidR="00803C17" w:rsidRPr="008F2724" w:rsidRDefault="007900D5" w:rsidP="00803C17">
      <w:pPr>
        <w:spacing w:after="240" w:line="276" w:lineRule="auto"/>
        <w:ind w:right="116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 xml:space="preserve">INCLUSIÓN DEL ÁCIDO GAMMA-AMINOBUTÍRICO EN LA DIETA DE LA TILAPIA EN FASE DE PRE-ENGORDE </w:t>
      </w:r>
    </w:p>
    <w:p w14:paraId="32D97BE5" w14:textId="76D26DE0" w:rsidR="00803C17" w:rsidRPr="004412FF" w:rsidRDefault="00803C17" w:rsidP="004412FF">
      <w:pPr>
        <w:spacing w:after="240" w:line="360" w:lineRule="auto"/>
        <w:ind w:right="116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Edgar Osiris Carranza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="00F82BA2"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*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Katia María Chahin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2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Sandra Ofelia Tosta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2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, Patricio E. Paz</w:t>
      </w:r>
      <w:r w:rsidRPr="004412FF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2</w:t>
      </w:r>
    </w:p>
    <w:p w14:paraId="6A21D97B" w14:textId="24DBDAA1" w:rsidR="00803C17" w:rsidRPr="007900D5" w:rsidRDefault="00803C17" w:rsidP="00DE366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7900D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</w:rPr>
        <w:t>1</w:t>
      </w:r>
      <w:r w:rsidRPr="007900D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Departamento de Acuicultura, Universidad Nacional Autónoma de Honduras</w:t>
      </w:r>
    </w:p>
    <w:p w14:paraId="2FA13880" w14:textId="215F06DE" w:rsidR="00803C17" w:rsidRPr="007900D5" w:rsidRDefault="00803C17" w:rsidP="00DE366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7900D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2</w:t>
      </w:r>
      <w:r w:rsidRPr="007900D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Departamento de Ciencia y Producción, Escuela Agrícola Panamericana</w:t>
      </w:r>
    </w:p>
    <w:p w14:paraId="116E6C47" w14:textId="77777777" w:rsidR="00803C17" w:rsidRDefault="00803C17" w:rsidP="00803C17">
      <w:pPr>
        <w:ind w:left="708"/>
        <w:jc w:val="both"/>
        <w:rPr>
          <w:rFonts w:ascii="Times New Roman" w:hAnsi="Times New Roman"/>
        </w:rPr>
      </w:pPr>
    </w:p>
    <w:p w14:paraId="43F02545" w14:textId="249281F1" w:rsidR="00DE366B" w:rsidRPr="00DE366B" w:rsidRDefault="00DE366B" w:rsidP="00DE366B">
      <w:pPr>
        <w:ind w:right="113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DE366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Correo del autor correspondiente: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DE366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edgar.carranza@unah.edu.hn</w:t>
      </w:r>
    </w:p>
    <w:p w14:paraId="2B38C7FE" w14:textId="77777777" w:rsidR="0070789B" w:rsidRPr="008F2724" w:rsidRDefault="00FD0467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7E1C7CBC" w14:textId="6423E1D9" w:rsidR="008E77B2" w:rsidRPr="008F2724" w:rsidRDefault="00803C17" w:rsidP="00234BD0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F2724">
        <w:rPr>
          <w:rFonts w:asciiTheme="minorHAnsi" w:hAnsiTheme="minorHAnsi" w:cstheme="minorHAnsi"/>
        </w:rPr>
        <w:t xml:space="preserve">La piscicultura es una económica en constantemente crecimiento, los productores acuícolas deben contar con alternativas productivas, a bajo costo y sostenible que les permitan incrementar su productividad. El ácido gamma-aminobutírico (GABA) es un aminoácido no esencial y se encuentra en la naturaleza, regula el apetito, reduce los niveles de estrés y mejora la absorción de nutrientes, contribuyendo en incrementar la productividad. El objetivo del estudio fue evaluar el efecto de la inclusión del ácido gamma-aminobutírico en la dieta de la tilapia durante la etapa de </w:t>
      </w:r>
      <w:proofErr w:type="spellStart"/>
      <w:r w:rsidRPr="008F2724">
        <w:rPr>
          <w:rFonts w:asciiTheme="minorHAnsi" w:hAnsiTheme="minorHAnsi" w:cstheme="minorHAnsi"/>
        </w:rPr>
        <w:t>pre-engorde</w:t>
      </w:r>
      <w:proofErr w:type="spellEnd"/>
      <w:r w:rsidRPr="008F2724">
        <w:rPr>
          <w:rFonts w:asciiTheme="minorHAnsi" w:hAnsiTheme="minorHAnsi" w:cstheme="minorHAnsi"/>
        </w:rPr>
        <w:t>.</w:t>
      </w:r>
    </w:p>
    <w:p w14:paraId="0090CB7E" w14:textId="43C8D3EF" w:rsidR="0070789B" w:rsidRPr="008F2724" w:rsidRDefault="00FD0467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412EAAD5" w14:textId="64A02066" w:rsidR="0070789B" w:rsidRPr="008F2724" w:rsidRDefault="00234BD0" w:rsidP="00234BD0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F2724">
        <w:rPr>
          <w:rFonts w:asciiTheme="minorHAnsi" w:hAnsiTheme="minorHAnsi" w:cstheme="minorHAnsi"/>
        </w:rPr>
        <w:t>Se utilizaron 720 alevinos de tilapia con peso promedio de 0.65 g, distribuidos en 12 tanques circulares con 0.32 m3, se manejaron los tratamientos que consistieron en 0.03% y 0.02% de inclusión de GABA en la dieta diaria, y un control, en cada tratamiento se utilizaron cuatro repeticiones sembrando 60 peces por unidad experimental. Se comparó los indicadores de desempeño de: biomasa/m3, ganancia diaria de peso, crecimiento relativo, crecimiento absoluto, índice de conversión alimenticia, porcentaje de supervivencia e indicadores de calidad de agua. Los datos obtenidos de las variables se les realizó una prueba de normalidad el estadístico de prueba de Shapiro-Wilk y fueron analizados a través de un diseño completamente al azar y con la prueba de medias Tukey.</w:t>
      </w:r>
    </w:p>
    <w:p w14:paraId="0DEF32FA" w14:textId="77777777" w:rsidR="00234BD0" w:rsidRPr="008F2724" w:rsidRDefault="00234BD0" w:rsidP="00234BD0">
      <w:pPr>
        <w:pStyle w:val="Ttulo2"/>
        <w:spacing w:line="360" w:lineRule="auto"/>
        <w:ind w:left="0"/>
        <w:rPr>
          <w:rFonts w:asciiTheme="minorHAnsi" w:hAnsiTheme="minorHAnsi" w:cstheme="minorHAnsi"/>
        </w:rPr>
      </w:pPr>
    </w:p>
    <w:p w14:paraId="365C9681" w14:textId="057E6589" w:rsidR="0070789B" w:rsidRP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55168" behindDoc="0" locked="0" layoutInCell="1" allowOverlap="1" wp14:anchorId="5D09EC52" wp14:editId="0D37AC80">
            <wp:simplePos x="0" y="0"/>
            <wp:positionH relativeFrom="column">
              <wp:posOffset>1173480</wp:posOffset>
            </wp:positionH>
            <wp:positionV relativeFrom="paragraph">
              <wp:posOffset>1584960</wp:posOffset>
            </wp:positionV>
            <wp:extent cx="2918460" cy="2479650"/>
            <wp:effectExtent l="0" t="0" r="0" b="0"/>
            <wp:wrapThrough wrapText="bothSides">
              <wp:wrapPolygon edited="0">
                <wp:start x="0" y="0"/>
                <wp:lineTo x="0" y="21080"/>
                <wp:lineTo x="21431" y="21080"/>
                <wp:lineTo x="21431" y="0"/>
                <wp:lineTo x="0" y="0"/>
              </wp:wrapPolygon>
            </wp:wrapThrough>
            <wp:docPr id="1545111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11787" name="Imagen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contrast="20000"/>
                    </a:blip>
                    <a:srcRect r="23713" b="17808"/>
                    <a:stretch/>
                  </pic:blipFill>
                  <pic:spPr bwMode="auto">
                    <a:xfrm>
                      <a:off x="0" y="0"/>
                      <a:ext cx="2918460" cy="24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467"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</w:t>
      </w:r>
    </w:p>
    <w:p w14:paraId="78377F84" w14:textId="25F2E1D7" w:rsidR="00234BD0" w:rsidRPr="008F2724" w:rsidRDefault="00234BD0" w:rsidP="00234BD0">
      <w:pPr>
        <w:spacing w:line="360" w:lineRule="auto"/>
        <w:jc w:val="both"/>
        <w:rPr>
          <w:rFonts w:asciiTheme="minorHAnsi" w:hAnsiTheme="minorHAnsi" w:cstheme="minorHAnsi"/>
        </w:rPr>
      </w:pPr>
      <w:r w:rsidRPr="008F2724">
        <w:rPr>
          <w:rFonts w:asciiTheme="minorHAnsi" w:hAnsiTheme="minorHAnsi" w:cstheme="minorHAnsi"/>
        </w:rPr>
        <w:t>En los resultados obtenidos no presentaron diferencias significativas en las variables que fueron evaluadas entre los diferentes tratamientos con GABA con respecto a la dieta control. A excepción en la biomasa/m</w:t>
      </w:r>
      <w:r w:rsidRPr="008F2724">
        <w:rPr>
          <w:rFonts w:asciiTheme="minorHAnsi" w:hAnsiTheme="minorHAnsi" w:cstheme="minorHAnsi"/>
          <w:vertAlign w:val="superscript"/>
        </w:rPr>
        <w:t>3</w:t>
      </w:r>
      <w:r w:rsidRPr="008F2724">
        <w:rPr>
          <w:rFonts w:asciiTheme="minorHAnsi" w:hAnsiTheme="minorHAnsi" w:cstheme="minorHAnsi"/>
        </w:rPr>
        <w:t xml:space="preserve"> que se obtuvo diferencias estadísticas (P&lt;0.0001) siendo el tratamiento con 0.03% de GABA el que mostró un desempeño favorable en los peces (Fig.1). </w:t>
      </w:r>
    </w:p>
    <w:p w14:paraId="1AF98FE1" w14:textId="2E3DB4A0" w:rsidR="00234BD0" w:rsidRPr="00AE34F6" w:rsidRDefault="00234BD0" w:rsidP="00234BD0">
      <w:pPr>
        <w:pStyle w:val="Textoindependiente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170FF8AC" w14:textId="1F36D762" w:rsid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C89B31E" w14:textId="0348EDAD" w:rsid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F5AE366" w14:textId="77777777" w:rsid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25EC64B" w14:textId="77777777" w:rsid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FE8D68A" w14:textId="77777777" w:rsidR="00483A7D" w:rsidRDefault="00483A7D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7F0DD72" w14:textId="77777777" w:rsidR="00483A7D" w:rsidRPr="008F2724" w:rsidRDefault="00483A7D" w:rsidP="00483A7D">
      <w:pPr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8F2724">
        <w:rPr>
          <w:rFonts w:asciiTheme="minorHAnsi" w:eastAsiaTheme="majorEastAsia" w:hAnsiTheme="minorHAnsi" w:cstheme="minorHAnsi"/>
          <w:b/>
          <w:bCs/>
          <w:color w:val="4F81BD" w:themeColor="accent1"/>
        </w:rPr>
        <w:t>Figura 1. Biomasa por m3 de peces de tilapia alimentados con la inclusión del 0.03 y 0.02% de ácido gamma-aminobutírico.</w:t>
      </w:r>
    </w:p>
    <w:p w14:paraId="4771DAB1" w14:textId="1F955DAB" w:rsidR="0070789B" w:rsidRPr="008F2724" w:rsidRDefault="00FD0467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2ADBECCE" w14:textId="77777777" w:rsidR="00234BD0" w:rsidRPr="00234BD0" w:rsidRDefault="00234BD0" w:rsidP="00234BD0">
      <w:pPr>
        <w:jc w:val="both"/>
        <w:rPr>
          <w:rFonts w:ascii="Times New Roman" w:hAnsi="Times New Roman"/>
          <w:sz w:val="24"/>
          <w:szCs w:val="24"/>
        </w:rPr>
      </w:pPr>
      <w:r w:rsidRPr="00234BD0">
        <w:rPr>
          <w:rFonts w:ascii="Times New Roman" w:hAnsi="Times New Roman"/>
          <w:sz w:val="24"/>
          <w:szCs w:val="24"/>
        </w:rPr>
        <w:t xml:space="preserve">Es necesario profundizar el uso del GABA con mayores niveles de inclusión y también el uso de este aminoácido en otras etapas de crecimiento de la tilapia o en otras especies acuícolas, para contar con alternativas que mejoren la productividad. </w:t>
      </w:r>
    </w:p>
    <w:p w14:paraId="5C9677AD" w14:textId="77777777" w:rsidR="00234BD0" w:rsidRPr="008F2724" w:rsidRDefault="00234BD0" w:rsidP="00483A7D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</w:p>
    <w:p w14:paraId="0CA6446F" w14:textId="77777777" w:rsidR="00143B3D" w:rsidRDefault="00143B3D">
      <w:pPr>
        <w:widowControl/>
        <w:autoSpaceDE/>
        <w:autoSpaceDN/>
        <w:rPr>
          <w:rFonts w:ascii="Calibri Light" w:hAnsi="Calibri Light" w:cs="Calibri Light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bCs/>
          <w:color w:val="000000"/>
          <w:sz w:val="24"/>
          <w:szCs w:val="24"/>
        </w:rPr>
        <w:tag w:val="MENDELEY_BIBLIOGRAPHY"/>
        <w:id w:val="-1426732474"/>
        <w:placeholder>
          <w:docPart w:val="DefaultPlaceholder_-1854013440"/>
        </w:placeholder>
      </w:sdtPr>
      <w:sdtContent>
        <w:p w14:paraId="69871F22" w14:textId="77777777" w:rsidR="00EC02C7" w:rsidRPr="008F2724" w:rsidRDefault="00EC02C7">
          <w:pPr>
            <w:ind w:hanging="640"/>
            <w:divId w:val="1530297800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4412FF">
            <w:rPr>
              <w:rFonts w:asciiTheme="majorHAnsi" w:eastAsia="Times New Roman" w:hAnsiTheme="majorHAnsi" w:cs="Times New Roman"/>
              <w:color w:val="000000"/>
            </w:rPr>
            <w:t>1.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ab/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Bhat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R,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Axtell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R, Mitra A, Miranda M,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Lock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C,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Tsien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RW, et al. 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Inhibitory role for GABA in autoimmune inflammation. Proc Natl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Acad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Sci U S A. 2010 Feb 9;107(6):2580–5. </w:t>
          </w:r>
        </w:p>
        <w:p w14:paraId="7FC24FDD" w14:textId="77777777" w:rsidR="00EC02C7" w:rsidRPr="008F2724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</w:p>
        <w:p w14:paraId="5C7EBC6E" w14:textId="77777777" w:rsidR="00EC02C7" w:rsidRPr="008F2724" w:rsidRDefault="00EC02C7">
          <w:pPr>
            <w:ind w:hanging="640"/>
            <w:divId w:val="527764383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2.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ab/>
            <w:t>Vega-López A, Lara-Vega I, Atonal-Brioso G, Nájera-Martínez M. Neurotoxicant effects of bisphenol A, nonylphenol, and tert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noBreakHyphen/>
            <w:t xml:space="preserve">butyl phenol in the Nile tilapia (Oreochromis niloticus). Aquatic Toxicology. 2024 Mar 1;268. </w:t>
          </w:r>
        </w:p>
        <w:p w14:paraId="050FBE94" w14:textId="77777777" w:rsidR="00EC02C7" w:rsidRPr="008F2724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</w:p>
        <w:p w14:paraId="480ED57C" w14:textId="059AA757" w:rsidR="00EC02C7" w:rsidRPr="00EC02C7" w:rsidRDefault="00EC02C7">
          <w:pPr>
            <w:ind w:hanging="640"/>
            <w:divId w:val="196126217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3.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ab/>
            <w:t xml:space="preserve">Reza Khansari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Directores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A, Tort Felipe Reyes-Lopez L. Comparative immunoendocrine responses to stressors in rainbow trout (Oncorhynchus mykiss) and gilthead sea bream</w:t>
          </w:r>
          <w:r w:rsidRPr="00EC02C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(Sparus aurata). 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Revista científica de la Sociedad Española de Acuicultura 5 Revista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AquaTIC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lastRenderedPageBreak/>
            <w:t xml:space="preserve">[Internet]. </w:t>
          </w:r>
          <w:r w:rsidR="00DE366B" w:rsidRPr="004412FF">
            <w:rPr>
              <w:rFonts w:asciiTheme="majorHAnsi" w:eastAsia="Times New Roman" w:hAnsiTheme="majorHAnsi" w:cs="Times New Roman"/>
              <w:color w:val="000000"/>
            </w:rPr>
            <w:t>2017; 52:5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–7.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Available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from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>: http://www.revistaaquatic.com</w:t>
          </w:r>
        </w:p>
        <w:p w14:paraId="7C20C5D8" w14:textId="77777777" w:rsidR="00EC02C7" w:rsidRPr="00EC02C7" w:rsidRDefault="00EC02C7">
          <w:pPr>
            <w:autoSpaceDE/>
            <w:autoSpaceDN/>
            <w:divId w:val="48532213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  <w:p w14:paraId="1052DA78" w14:textId="516F09FE" w:rsidR="00EC02C7" w:rsidRPr="004412FF" w:rsidRDefault="00EC02C7">
          <w:pPr>
            <w:ind w:hanging="640"/>
            <w:divId w:val="830293001"/>
            <w:rPr>
              <w:rFonts w:asciiTheme="majorHAnsi" w:eastAsia="Times New Roman" w:hAnsiTheme="majorHAnsi" w:cs="Times New Roman"/>
              <w:color w:val="000000"/>
            </w:rPr>
          </w:pPr>
          <w:r w:rsidRPr="004412FF">
            <w:rPr>
              <w:rFonts w:asciiTheme="majorHAnsi" w:eastAsia="Times New Roman" w:hAnsiTheme="majorHAnsi" w:cs="Times New Roman"/>
              <w:color w:val="000000"/>
            </w:rPr>
            <w:t>4.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ab/>
            <w:t xml:space="preserve">Nájera-Martínez M, López-Tapia BP, Aguilera-Alvarado GP, Madera-Sandoval RL, Sánchez-Nieto S,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Giron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-Pérez MI, et al. 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Sub-basal increases of GABA enhance the synthesis of TNF-α, TGF-β, and IL-1β in the immune system organs of the Nile tilapia. 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J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Neuroimmunol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. 2020 </w:t>
          </w:r>
          <w:r w:rsidR="00483A7D" w:rsidRPr="004412FF">
            <w:rPr>
              <w:rFonts w:asciiTheme="majorHAnsi" w:eastAsia="Times New Roman" w:hAnsiTheme="majorHAnsi" w:cs="Times New Roman"/>
              <w:color w:val="000000"/>
            </w:rPr>
            <w:t>nov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</w:t>
          </w:r>
          <w:r w:rsidR="00483A7D" w:rsidRPr="004412FF">
            <w:rPr>
              <w:rFonts w:asciiTheme="majorHAnsi" w:eastAsia="Times New Roman" w:hAnsiTheme="majorHAnsi" w:cs="Times New Roman"/>
              <w:color w:val="000000"/>
            </w:rPr>
            <w:t>15; 348:577382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. </w:t>
          </w:r>
        </w:p>
        <w:p w14:paraId="5593EFC1" w14:textId="77777777" w:rsidR="00EC02C7" w:rsidRPr="004412FF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</w:rPr>
          </w:pPr>
        </w:p>
        <w:p w14:paraId="2761A7DD" w14:textId="77777777" w:rsidR="00EC02C7" w:rsidRPr="008F2724" w:rsidRDefault="00EC02C7">
          <w:pPr>
            <w:ind w:hanging="640"/>
            <w:divId w:val="168717512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4412FF">
            <w:rPr>
              <w:rFonts w:asciiTheme="majorHAnsi" w:eastAsia="Times New Roman" w:hAnsiTheme="majorHAnsi" w:cs="Times New Roman"/>
              <w:color w:val="000000"/>
            </w:rPr>
            <w:t>5.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ab/>
            <w:t>Perdomo Carrillo D, Corredor Z, Ramírez-Iglesia L. Características físico-químicas y morfométricas en la crianza por fases de la tilapia roja (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Oreochromis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spp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.) en una zona cálida tropical.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Zootec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Trop [Internet]. 2012 Sep 26 [cited 2024 Aug 22];30(1):99–108. Available from: https://ve.scielo.org/pdf/zt/v30n1/art11.pdf</w:t>
          </w:r>
        </w:p>
        <w:p w14:paraId="6871A093" w14:textId="77777777" w:rsidR="00EC02C7" w:rsidRPr="008F2724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</w:p>
        <w:p w14:paraId="6A2A18B1" w14:textId="77777777" w:rsidR="00EC02C7" w:rsidRPr="008F2724" w:rsidRDefault="00EC02C7">
          <w:pPr>
            <w:ind w:hanging="640"/>
            <w:divId w:val="1367875136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4412FF">
            <w:rPr>
              <w:rFonts w:asciiTheme="majorHAnsi" w:eastAsia="Times New Roman" w:hAnsiTheme="majorHAnsi" w:cs="Times New Roman"/>
              <w:color w:val="000000"/>
            </w:rPr>
            <w:t>6.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ab/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Mize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RR, Jeon CJ, Hamada OL, Spencer RF. 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Organization of neurons labeled by antibodies to gamma-aminobutyric acid (GABA) in the superior colliculus of the Rhesus monkey. Vis Neurosci [Internet]. 1991 [cited 2024 Aug 22];6(1):75–92. Available from: https://www.cambridge.org/core/journals/visual-neuroscience/article/abs/organization-of-neurons-labeled-by-antibodies-to-gammaaminobutyric-acid-gaba-in-the-superior-colliculus-of-the-rhesus-monkey/1A003103D9CF0D49B9C57F7BC358B94F</w:t>
          </w:r>
        </w:p>
        <w:p w14:paraId="6C0230B7" w14:textId="77777777" w:rsidR="00EC02C7" w:rsidRPr="008F2724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</w:p>
        <w:p w14:paraId="2B13C455" w14:textId="362EFD6F" w:rsidR="00EC02C7" w:rsidRPr="004412FF" w:rsidRDefault="00EC02C7">
          <w:pPr>
            <w:ind w:hanging="640"/>
            <w:divId w:val="1569539492"/>
            <w:rPr>
              <w:rFonts w:asciiTheme="majorHAnsi" w:eastAsia="Times New Roman" w:hAnsiTheme="majorHAnsi" w:cs="Times New Roman"/>
              <w:color w:val="000000"/>
            </w:rPr>
          </w:pPr>
          <w:r w:rsidRPr="004412FF">
            <w:rPr>
              <w:rFonts w:asciiTheme="majorHAnsi" w:eastAsia="Times New Roman" w:hAnsiTheme="majorHAnsi" w:cs="Times New Roman"/>
              <w:color w:val="000000"/>
            </w:rPr>
            <w:t>7.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ab/>
            <w:t xml:space="preserve">Rivas Salazar D, Silva-Acuña R, Barrios Maestre R, Noriega Salazar A. Recambio de agua, su efecto sobre características físico-químicas y crecimiento en juveniles de tilapia roja. Revista ESPAMCIENCIA [Internet]. 2021 </w:t>
          </w:r>
          <w:r w:rsidR="00483A7D" w:rsidRPr="004412FF">
            <w:rPr>
              <w:rFonts w:asciiTheme="majorHAnsi" w:eastAsia="Times New Roman" w:hAnsiTheme="majorHAnsi" w:cs="Times New Roman"/>
              <w:color w:val="000000"/>
            </w:rPr>
            <w:t>jun</w:t>
          </w:r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21;12(1):8–16.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Available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 xml:space="preserve"> </w:t>
          </w:r>
          <w:proofErr w:type="spellStart"/>
          <w:r w:rsidRPr="004412FF">
            <w:rPr>
              <w:rFonts w:asciiTheme="majorHAnsi" w:eastAsia="Times New Roman" w:hAnsiTheme="majorHAnsi" w:cs="Times New Roman"/>
              <w:color w:val="000000"/>
            </w:rPr>
            <w:t>from</w:t>
          </w:r>
          <w:proofErr w:type="spellEnd"/>
          <w:r w:rsidRPr="004412FF">
            <w:rPr>
              <w:rFonts w:asciiTheme="majorHAnsi" w:eastAsia="Times New Roman" w:hAnsiTheme="majorHAnsi" w:cs="Times New Roman"/>
              <w:color w:val="000000"/>
            </w:rPr>
            <w:t>: http://revistasespam.espam.edu.ec/index.php/Revista_ESPAMCIENCIA/article/view/260</w:t>
          </w:r>
        </w:p>
        <w:p w14:paraId="305FC16E" w14:textId="77777777" w:rsidR="00EC02C7" w:rsidRPr="00EC02C7" w:rsidRDefault="00EC02C7">
          <w:pPr>
            <w:autoSpaceDE/>
            <w:autoSpaceDN/>
            <w:divId w:val="48532213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  <w:p w14:paraId="648C568D" w14:textId="77777777" w:rsidR="00EC02C7" w:rsidRPr="008F2724" w:rsidRDefault="00EC02C7">
          <w:pPr>
            <w:ind w:hanging="640"/>
            <w:divId w:val="1031297659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8.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ab/>
            <w:t xml:space="preserve">Dourado PLR, Lima D, Mattos JJ,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Bainy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ACD, Grott SC, Alves TC, et al. Fipronil impairs the GABAergic brain responses of Nile Tilapia during the transition from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normoxia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to acute hypoxia. J Exp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Zool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</w:t>
          </w:r>
          <w:proofErr w:type="gram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A</w:t>
          </w:r>
          <w:proofErr w:type="gram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Ecol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Integr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Physiol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[Internet]. 2023 Mar 1 [cited 2024 Aug 22];339(2):138–52. Available from: https://onlinelibrary.wiley.com/doi/full/10.1002/jez.2662</w:t>
          </w:r>
        </w:p>
        <w:p w14:paraId="76E144E6" w14:textId="77777777" w:rsidR="00EC02C7" w:rsidRPr="008F2724" w:rsidRDefault="00EC02C7">
          <w:pPr>
            <w:autoSpaceDE/>
            <w:autoSpaceDN/>
            <w:divId w:val="485322131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</w:p>
        <w:p w14:paraId="3B1D180D" w14:textId="77777777" w:rsidR="00EC02C7" w:rsidRPr="008F2724" w:rsidRDefault="00EC02C7">
          <w:pPr>
            <w:ind w:hanging="640"/>
            <w:divId w:val="2042894329"/>
            <w:rPr>
              <w:rFonts w:asciiTheme="majorHAnsi" w:eastAsia="Times New Roman" w:hAnsiTheme="majorHAnsi" w:cs="Times New Roman"/>
              <w:color w:val="000000"/>
              <w:lang w:val="en-US"/>
            </w:rPr>
          </w:pP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9.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ab/>
            <w:t xml:space="preserve">Bae J,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Hamidoghli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A, Farris NW, Olowe OS, Choi W, Lee S, et al. Dietary </w:t>
          </w:r>
          <w:r w:rsidRPr="008F2724">
            <w:rPr>
              <w:rFonts w:asciiTheme="majorHAnsi" w:eastAsia="Times New Roman" w:hAnsiTheme="majorHAnsi" w:cs="Times New Roman"/>
              <w:color w:val="000000"/>
            </w:rPr>
            <w:t>γ</w:t>
          </w:r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-Aminobutyric Acid (GABA) Promotes Growth and Resistance to Vibrio alginolyticus in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Whiteleg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 xml:space="preserve"> Shrimp Litopenaeus </w:t>
          </w:r>
          <w:proofErr w:type="spellStart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vannamei</w:t>
          </w:r>
          <w:proofErr w:type="spellEnd"/>
          <w:r w:rsidRPr="008F2724">
            <w:rPr>
              <w:rFonts w:asciiTheme="majorHAnsi" w:eastAsia="Times New Roman" w:hAnsiTheme="majorHAnsi" w:cs="Times New Roman"/>
              <w:color w:val="000000"/>
              <w:lang w:val="en-US"/>
            </w:rPr>
            <w:t>. 2022 [cited 2024 Aug 22]; Available from: https://onlinelibrary.wiley.com/doi/10.1155/2022/9105068</w:t>
          </w:r>
        </w:p>
        <w:p w14:paraId="3831262A" w14:textId="66308529" w:rsidR="00143B3D" w:rsidRPr="00EC02C7" w:rsidRDefault="00EC02C7">
          <w:pPr>
            <w:widowControl/>
            <w:autoSpaceDE/>
            <w:autoSpaceDN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E36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 </w:t>
          </w:r>
        </w:p>
      </w:sdtContent>
    </w:sdt>
    <w:p w14:paraId="0AC8D084" w14:textId="77777777" w:rsidR="00143B3D" w:rsidRDefault="00143B3D">
      <w:pPr>
        <w:widowControl/>
        <w:autoSpaceDE/>
        <w:autoSpaceDN/>
        <w:rPr>
          <w:rFonts w:ascii="Calibri Light" w:hAnsi="Calibri Light" w:cs="Calibri Light"/>
          <w:b/>
          <w:bCs/>
          <w:sz w:val="24"/>
          <w:szCs w:val="24"/>
        </w:rPr>
      </w:pPr>
    </w:p>
    <w:p w14:paraId="5EF1EEC0" w14:textId="77777777" w:rsidR="00CB26B1" w:rsidRDefault="00CB26B1" w:rsidP="00CB26B1">
      <w:pPr>
        <w:pStyle w:val="NormalWeb"/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</w:t>
      </w:r>
      <w:r w:rsidRPr="00AD715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:</w:t>
      </w:r>
      <w:r>
        <w:br/>
      </w:r>
      <w:r w:rsidRPr="008F2724">
        <w:rPr>
          <w:rFonts w:asciiTheme="minorHAnsi" w:hAnsiTheme="minorHAnsi" w:cstheme="minorHAnsi"/>
          <w:sz w:val="22"/>
          <w:szCs w:val="22"/>
        </w:rPr>
        <w:t xml:space="preserve">Carranza EO, </w:t>
      </w:r>
      <w:proofErr w:type="spellStart"/>
      <w:r w:rsidRPr="008F2724">
        <w:rPr>
          <w:rFonts w:asciiTheme="minorHAnsi" w:hAnsiTheme="minorHAnsi" w:cstheme="minorHAnsi"/>
          <w:sz w:val="22"/>
          <w:szCs w:val="22"/>
        </w:rPr>
        <w:t>Chahin</w:t>
      </w:r>
      <w:proofErr w:type="spellEnd"/>
      <w:r w:rsidRPr="008F2724">
        <w:rPr>
          <w:rFonts w:asciiTheme="minorHAnsi" w:hAnsiTheme="minorHAnsi" w:cstheme="minorHAnsi"/>
          <w:sz w:val="22"/>
          <w:szCs w:val="22"/>
        </w:rPr>
        <w:t xml:space="preserve"> KM, Tosta SO, Paz PE. INCLUSIÓN DEL ÁCIDO GAMMA-AMINOBUTÍRICO EN LA DIETA DE LA TILAPIA EN FASE DE PRE-ENGORDE [resumen]. En: Vispo NS, editor. </w:t>
      </w:r>
      <w:r w:rsidRPr="008F2724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8F2724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8F2724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8F2724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8F2724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8F272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F2724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8F2724">
        <w:rPr>
          <w:rFonts w:asciiTheme="minorHAnsi" w:hAnsiTheme="minorHAnsi" w:cstheme="minorHAnsi"/>
          <w:sz w:val="22"/>
          <w:szCs w:val="22"/>
        </w:rPr>
        <w:t>/2024.mem</w:t>
      </w:r>
    </w:p>
    <w:p w14:paraId="02613729" w14:textId="77777777" w:rsidR="00CB26B1" w:rsidRDefault="00CB26B1" w:rsidP="00CB26B1">
      <w:pPr>
        <w:pStyle w:val="NormalWeb"/>
      </w:pPr>
      <w:r w:rsidRPr="008F272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ISBN del libro</w:t>
      </w:r>
      <w:r w:rsidRPr="00AD715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:</w:t>
      </w:r>
      <w:r>
        <w:t xml:space="preserve"> </w:t>
      </w:r>
      <w:r w:rsidRPr="008F2724">
        <w:rPr>
          <w:rFonts w:asciiTheme="minorHAnsi" w:hAnsiTheme="minorHAnsi" w:cstheme="minorHAnsi"/>
          <w:sz w:val="22"/>
          <w:szCs w:val="22"/>
        </w:rPr>
        <w:t>978-84-09-76685-7</w:t>
      </w:r>
    </w:p>
    <w:sectPr w:rsidR="00CB26B1" w:rsidSect="00AE34F6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0150" w14:textId="77777777" w:rsidR="00753D07" w:rsidRDefault="00753D07">
      <w:r>
        <w:separator/>
      </w:r>
    </w:p>
  </w:endnote>
  <w:endnote w:type="continuationSeparator" w:id="0">
    <w:p w14:paraId="09A01279" w14:textId="77777777" w:rsidR="00753D07" w:rsidRDefault="0075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0FF7" w14:textId="77777777" w:rsidR="00753D07" w:rsidRDefault="00753D07">
      <w:r>
        <w:separator/>
      </w:r>
    </w:p>
  </w:footnote>
  <w:footnote w:type="continuationSeparator" w:id="0">
    <w:p w14:paraId="56D716AF" w14:textId="77777777" w:rsidR="00753D07" w:rsidRDefault="0075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multilevel"/>
    <w:tmpl w:val="18B468F5"/>
    <w:lvl w:ilvl="0">
      <w:start w:val="1"/>
      <w:numFmt w:val="decimal"/>
      <w:pStyle w:val="Biont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59A"/>
    <w:multiLevelType w:val="multilevel"/>
    <w:tmpl w:val="2BC3259A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4E0021D2"/>
    <w:multiLevelType w:val="hybridMultilevel"/>
    <w:tmpl w:val="243A1786"/>
    <w:lvl w:ilvl="0" w:tplc="F14A26A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156112966">
    <w:abstractNumId w:val="0"/>
  </w:num>
  <w:num w:numId="2" w16cid:durableId="585262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608197">
    <w:abstractNumId w:val="1"/>
  </w:num>
  <w:num w:numId="4" w16cid:durableId="1854688190">
    <w:abstractNumId w:val="2"/>
  </w:num>
  <w:num w:numId="5" w16cid:durableId="176541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MzE2NjIytzC3NLRU0lEKTi0uzszPAykwqwUAL6VcICwAAAA="/>
  </w:docVars>
  <w:rsids>
    <w:rsidRoot w:val="0044092F"/>
    <w:rsid w:val="DF7BC588"/>
    <w:rsid w:val="0003123D"/>
    <w:rsid w:val="00033DF7"/>
    <w:rsid w:val="000F2544"/>
    <w:rsid w:val="00105E0F"/>
    <w:rsid w:val="00122D1A"/>
    <w:rsid w:val="00143B3D"/>
    <w:rsid w:val="00234BD0"/>
    <w:rsid w:val="00303ED7"/>
    <w:rsid w:val="00337718"/>
    <w:rsid w:val="0044092F"/>
    <w:rsid w:val="004412FF"/>
    <w:rsid w:val="00457C35"/>
    <w:rsid w:val="00483A7D"/>
    <w:rsid w:val="0065396B"/>
    <w:rsid w:val="00695F5E"/>
    <w:rsid w:val="0070789B"/>
    <w:rsid w:val="00753D07"/>
    <w:rsid w:val="0075530C"/>
    <w:rsid w:val="007900D5"/>
    <w:rsid w:val="00803C17"/>
    <w:rsid w:val="008E77B2"/>
    <w:rsid w:val="008F2724"/>
    <w:rsid w:val="009035B7"/>
    <w:rsid w:val="00906565"/>
    <w:rsid w:val="00916021"/>
    <w:rsid w:val="00921DF9"/>
    <w:rsid w:val="00932FF8"/>
    <w:rsid w:val="0096039E"/>
    <w:rsid w:val="009A1CCF"/>
    <w:rsid w:val="009B54B6"/>
    <w:rsid w:val="009D0B28"/>
    <w:rsid w:val="00A02BAA"/>
    <w:rsid w:val="00A502AF"/>
    <w:rsid w:val="00A75188"/>
    <w:rsid w:val="00A86A69"/>
    <w:rsid w:val="00AA73DA"/>
    <w:rsid w:val="00AE34F6"/>
    <w:rsid w:val="00B14A07"/>
    <w:rsid w:val="00B67EEB"/>
    <w:rsid w:val="00BC1774"/>
    <w:rsid w:val="00BC6123"/>
    <w:rsid w:val="00C5707A"/>
    <w:rsid w:val="00CB26B1"/>
    <w:rsid w:val="00CC7697"/>
    <w:rsid w:val="00CE5DA6"/>
    <w:rsid w:val="00CF6971"/>
    <w:rsid w:val="00D00F96"/>
    <w:rsid w:val="00DB14F3"/>
    <w:rsid w:val="00DD063C"/>
    <w:rsid w:val="00DE366B"/>
    <w:rsid w:val="00E04917"/>
    <w:rsid w:val="00E53BF7"/>
    <w:rsid w:val="00EB7139"/>
    <w:rsid w:val="00EC02C7"/>
    <w:rsid w:val="00ED092D"/>
    <w:rsid w:val="00F14038"/>
    <w:rsid w:val="00F4396C"/>
    <w:rsid w:val="00F51851"/>
    <w:rsid w:val="00F82BA2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1CA"/>
  <w15:docId w15:val="{B0282A6B-F6E5-4777-BC34-D406CB0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styleId="Refdecomentario">
    <w:name w:val="annotation reference"/>
    <w:rPr>
      <w:sz w:val="21"/>
      <w:szCs w:val="21"/>
    </w:rPr>
  </w:style>
  <w:style w:type="paragraph" w:styleId="Textocomentario">
    <w:name w:val="annotation text"/>
    <w:basedOn w:val="Normal"/>
    <w:link w:val="TextocomentarioCar"/>
    <w:qFormat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Biont71References">
    <w:name w:val="Biont_7.1_References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4BD0"/>
    <w:rPr>
      <w:rFonts w:ascii="Arial MT" w:eastAsia="Arial MT" w:hAnsi="Arial MT" w:cs="Arial MT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143B3D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483A7D"/>
    <w:rPr>
      <w:rFonts w:ascii="Arial MT" w:eastAsia="Arial MT" w:hAnsi="Arial MT" w:cs="Arial MT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B26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B26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9CDE-04AD-4A2A-AF85-15E745CC3F1F}"/>
      </w:docPartPr>
      <w:docPartBody>
        <w:p w:rsidR="00F835FE" w:rsidRDefault="00874D83">
          <w:r w:rsidRPr="00E72A0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83"/>
    <w:rsid w:val="00105E0F"/>
    <w:rsid w:val="00122D1A"/>
    <w:rsid w:val="002857A5"/>
    <w:rsid w:val="002C3DCB"/>
    <w:rsid w:val="00330C33"/>
    <w:rsid w:val="004F2C76"/>
    <w:rsid w:val="005F608E"/>
    <w:rsid w:val="00695F5E"/>
    <w:rsid w:val="00874D83"/>
    <w:rsid w:val="00916021"/>
    <w:rsid w:val="00A02BAA"/>
    <w:rsid w:val="00AA288C"/>
    <w:rsid w:val="00D00F96"/>
    <w:rsid w:val="00DC0C5B"/>
    <w:rsid w:val="00E53BF7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HN" w:eastAsia="es-H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4D8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164CEA-C923-4D02-A643-591C6BB7E1B8}">
  <we:reference id="f78a3046-9e99-4300-aa2b-5814002b01a2" version="1.55.1.0" store="EXCatalog" storeType="EXCatalog"/>
  <we:alternateReferences>
    <we:reference id="WA104382081" version="1.55.1.0" store="es-HN" storeType="OMEX"/>
  </we:alternateReferences>
  <we:properties>
    <we:property name="MENDELEY_CITATIONS" value="[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5F60660-5667-4741-A551-34560FB9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H. Enamorado M.</dc:creator>
  <cp:lastModifiedBy>Bionatura Journal</cp:lastModifiedBy>
  <cp:revision>5</cp:revision>
  <dcterms:created xsi:type="dcterms:W3CDTF">2025-06-19T14:35:00Z</dcterms:created>
  <dcterms:modified xsi:type="dcterms:W3CDTF">2025-10-28T15:21:00Z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1033-11.1.0.11711</vt:lpwstr>
  </property>
</Properties>
</file>